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长白朝鲜族自治县</w:t>
      </w:r>
      <w:r>
        <w:rPr>
          <w:rFonts w:hint="eastAsia" w:eastAsia="方正小标宋简体"/>
          <w:sz w:val="44"/>
          <w:szCs w:val="44"/>
          <w:lang w:eastAsia="zh-CN"/>
        </w:rPr>
        <w:t>长白山中药研究所</w:t>
      </w:r>
    </w:p>
    <w:p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20</w:t>
      </w:r>
      <w:r>
        <w:rPr>
          <w:rFonts w:hint="eastAsia" w:eastAsia="方正小标宋简体"/>
          <w:sz w:val="44"/>
          <w:szCs w:val="44"/>
        </w:rPr>
        <w:t>21</w:t>
      </w:r>
      <w:r>
        <w:rPr>
          <w:rFonts w:eastAsia="方正小标宋简体"/>
          <w:sz w:val="44"/>
          <w:szCs w:val="44"/>
        </w:rPr>
        <w:t>年</w:t>
      </w:r>
      <w:r>
        <w:rPr>
          <w:rFonts w:hint="eastAsia" w:eastAsia="方正小标宋简体"/>
          <w:sz w:val="44"/>
          <w:szCs w:val="44"/>
        </w:rPr>
        <w:t>单位预</w:t>
      </w:r>
      <w:r>
        <w:rPr>
          <w:rFonts w:eastAsia="方正小标宋简体"/>
          <w:sz w:val="44"/>
          <w:szCs w:val="44"/>
        </w:rPr>
        <w:t>算</w:t>
      </w:r>
    </w:p>
    <w:p>
      <w:pPr>
        <w:ind w:firstLine="640" w:firstLineChars="200"/>
        <w:jc w:val="center"/>
        <w:rPr>
          <w:rFonts w:ascii="黑体" w:eastAsia="黑体"/>
        </w:rPr>
      </w:pPr>
      <w:r>
        <w:rPr>
          <w:rFonts w:hint="eastAsia" w:ascii="黑体" w:eastAsia="黑体"/>
        </w:rPr>
        <w:t>第一部分 单位概况</w:t>
      </w:r>
    </w:p>
    <w:p>
      <w:pPr>
        <w:ind w:left="320" w:leftChars="1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一、主要职能</w:t>
      </w:r>
    </w:p>
    <w:p>
      <w:pPr>
        <w:ind w:left="320" w:leftChars="100" w:firstLine="640" w:firstLineChars="20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eastAsia="zh-CN"/>
        </w:rPr>
        <w:t>（</w:t>
      </w:r>
      <w:r>
        <w:rPr>
          <w:rFonts w:hint="eastAsia" w:ascii="仿宋" w:hAnsi="仿宋" w:eastAsia="仿宋" w:cs="仿宋"/>
          <w:lang w:val="en-US" w:eastAsia="zh-CN"/>
        </w:rPr>
        <w:t>一</w:t>
      </w:r>
      <w:r>
        <w:rPr>
          <w:rFonts w:hint="eastAsia" w:ascii="仿宋" w:hAnsi="仿宋" w:eastAsia="仿宋" w:cs="仿宋"/>
          <w:lang w:eastAsia="zh-CN"/>
        </w:rPr>
        <w:t>）</w:t>
      </w:r>
      <w:r>
        <w:rPr>
          <w:rFonts w:hint="eastAsia" w:ascii="仿宋" w:hAnsi="仿宋" w:eastAsia="仿宋" w:cs="仿宋"/>
          <w:lang w:val="en-US" w:eastAsia="zh-CN"/>
        </w:rPr>
        <w:t>负责长白山天然药用植物研究；负责长白山天然药材新药研究；为长白县天然药材的引种驯化及产业化提供技术服务；</w:t>
      </w:r>
    </w:p>
    <w:p>
      <w:pPr>
        <w:ind w:left="320" w:leftChars="100" w:firstLine="640" w:firstLineChars="20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（二）负责发掘中医古方、验方和偏方，并对其进行配方的重新筛选，研究中药创新药物；</w:t>
      </w:r>
    </w:p>
    <w:p>
      <w:pPr>
        <w:ind w:left="320" w:leftChars="100" w:firstLine="640" w:firstLineChars="20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（三）负责研究药食两用药材，开展食品新资源、保健食品、以及特医食品等的前期研究；为县内慢性病、重大疾病的预防和治疗提供医药服务；</w:t>
      </w:r>
    </w:p>
    <w:p>
      <w:pPr>
        <w:ind w:left="320" w:leftChars="100" w:firstLine="640" w:firstLineChars="20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（四）负责对传统中药材的药效物质基础进行研究，并开展分离工艺研究以及多组分、单一组分的有效部位药物研究；</w:t>
      </w:r>
    </w:p>
    <w:p>
      <w:pPr>
        <w:ind w:left="320" w:leftChars="100" w:firstLine="640" w:firstLineChars="20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（五）为食药企业进行新工艺、质量标准研究及检验、小试、中试服务；为县内医药产业转型升级发展提供服务；</w:t>
      </w:r>
    </w:p>
    <w:p>
      <w:pPr>
        <w:ind w:left="320" w:leftChars="1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二、机构设置</w:t>
      </w:r>
    </w:p>
    <w:p>
      <w:pPr>
        <w:shd w:val="clear" w:color="auto" w:fill="FFFFFF"/>
        <w:spacing w:before="100" w:beforeAutospacing="1" w:after="100" w:afterAutospacing="1"/>
        <w:ind w:firstLine="640" w:firstLineChars="200"/>
        <w:rPr>
          <w:rFonts w:ascii="仿宋" w:hAnsi="仿宋" w:eastAsia="仿宋"/>
          <w:szCs w:val="32"/>
        </w:rPr>
      </w:pPr>
      <w:r>
        <w:rPr>
          <w:rFonts w:hint="eastAsia" w:ascii="仿宋" w:hAnsi="仿宋" w:eastAsia="仿宋" w:cs="仿宋"/>
          <w:lang w:val="en-US" w:eastAsia="zh-CN"/>
        </w:rPr>
        <w:t>根据上述职责，长白朝鲜族自治县长白山中药研究所设置事业编制6名，其中行政管理岗位编制2名，占总编制的20%；专业技术岗位编制4名，占总编制的80%。</w:t>
      </w:r>
    </w:p>
    <w:p>
      <w:pPr>
        <w:ind w:firstLine="640" w:firstLineChars="200"/>
        <w:jc w:val="center"/>
        <w:rPr>
          <w:rFonts w:ascii="黑体" w:eastAsia="黑体"/>
        </w:rPr>
      </w:pPr>
      <w:r>
        <w:rPr>
          <w:rFonts w:hint="eastAsia" w:ascii="黑体" w:eastAsia="黑体"/>
        </w:rPr>
        <w:t>第二部分 2021年单位预算表</w:t>
      </w:r>
    </w:p>
    <w:p>
      <w:pPr>
        <w:jc w:val="left"/>
        <w:rPr>
          <w:rFonts w:hint="eastAsia" w:ascii="仿宋" w:hAnsi="仿宋" w:eastAsia="仿宋"/>
        </w:rPr>
      </w:pPr>
      <w:r>
        <w:rPr>
          <w:rFonts w:hint="eastAsia" w:ascii="仿宋" w:hAnsi="仿宋" w:eastAsia="仿宋"/>
          <w:lang w:val="en-US" w:eastAsia="zh-CN"/>
        </w:rPr>
        <w:t>一、</w:t>
      </w:r>
      <w:r>
        <w:rPr>
          <w:rFonts w:hint="eastAsia" w:ascii="仿宋" w:hAnsi="仿宋" w:eastAsia="仿宋"/>
        </w:rPr>
        <w:t>详见2021年单位预算报表</w:t>
      </w:r>
    </w:p>
    <w:p>
      <w:pPr>
        <w:jc w:val="both"/>
        <w:rPr>
          <w:rFonts w:hint="eastAsia" w:asciiTheme="minorEastAsia" w:hAnsiTheme="minorEastAsia" w:eastAsiaTheme="minorEastAsia" w:cstheme="minorEastAsia"/>
          <w:b/>
          <w:bCs/>
          <w:sz w:val="18"/>
          <w:szCs w:val="18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/>
          <w:lang w:val="en-US" w:eastAsia="zh-CN"/>
        </w:rPr>
        <w:t>二、2021年政府性基金预算财政拨款支出预算表</w:t>
      </w:r>
    </w:p>
    <w:tbl>
      <w:tblPr>
        <w:tblStyle w:val="10"/>
        <w:tblW w:w="91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"/>
        <w:gridCol w:w="430"/>
        <w:gridCol w:w="560"/>
        <w:gridCol w:w="2730"/>
        <w:gridCol w:w="960"/>
        <w:gridCol w:w="1065"/>
        <w:gridCol w:w="1320"/>
        <w:gridCol w:w="570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431" w:type="dxa"/>
            <w:gridSpan w:val="3"/>
            <w:vMerge w:val="restart"/>
            <w:vAlign w:val="top"/>
          </w:tcPr>
          <w:p>
            <w:pPr>
              <w:jc w:val="center"/>
              <w:rPr>
                <w:rFonts w:hint="default" w:eastAsiaTheme="minor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功能分类科目编码</w:t>
            </w:r>
          </w:p>
        </w:tc>
        <w:tc>
          <w:tcPr>
            <w:tcW w:w="2730" w:type="dxa"/>
            <w:vMerge w:val="restart"/>
            <w:vAlign w:val="top"/>
          </w:tcPr>
          <w:p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功能分类科目名称</w:t>
            </w:r>
          </w:p>
        </w:tc>
        <w:tc>
          <w:tcPr>
            <w:tcW w:w="960" w:type="dxa"/>
            <w:vMerge w:val="restart"/>
            <w:vAlign w:val="top"/>
          </w:tcPr>
          <w:p>
            <w:pPr>
              <w:jc w:val="center"/>
              <w:rPr>
                <w:rFonts w:hint="default" w:eastAsiaTheme="minor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总计</w:t>
            </w:r>
          </w:p>
        </w:tc>
        <w:tc>
          <w:tcPr>
            <w:tcW w:w="2955" w:type="dxa"/>
            <w:gridSpan w:val="3"/>
            <w:vAlign w:val="top"/>
          </w:tcPr>
          <w:p>
            <w:pPr>
              <w:jc w:val="center"/>
              <w:rPr>
                <w:rFonts w:hint="default" w:eastAsiaTheme="minor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基本支出</w:t>
            </w:r>
          </w:p>
        </w:tc>
        <w:tc>
          <w:tcPr>
            <w:tcW w:w="1065" w:type="dxa"/>
            <w:vMerge w:val="restart"/>
            <w:vAlign w:val="top"/>
          </w:tcPr>
          <w:p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项目支出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431" w:type="dxa"/>
            <w:gridSpan w:val="3"/>
            <w:vMerge w:val="continue"/>
          </w:tcPr>
          <w:p>
            <w:pPr>
              <w:rPr>
                <w:highlight w:val="none"/>
              </w:rPr>
            </w:pPr>
          </w:p>
        </w:tc>
        <w:tc>
          <w:tcPr>
            <w:tcW w:w="2730" w:type="dxa"/>
            <w:vMerge w:val="continue"/>
          </w:tcPr>
          <w:p>
            <w:pPr>
              <w:rPr>
                <w:highlight w:val="none"/>
              </w:rPr>
            </w:pPr>
          </w:p>
        </w:tc>
        <w:tc>
          <w:tcPr>
            <w:tcW w:w="960" w:type="dxa"/>
            <w:vMerge w:val="continue"/>
          </w:tcPr>
          <w:p>
            <w:pPr>
              <w:rPr>
                <w:highlight w:val="none"/>
              </w:rPr>
            </w:pPr>
          </w:p>
        </w:tc>
        <w:tc>
          <w:tcPr>
            <w:tcW w:w="1065" w:type="dxa"/>
          </w:tcPr>
          <w:p>
            <w:pPr>
              <w:rPr>
                <w:rFonts w:hint="default" w:eastAsiaTheme="minor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合计</w:t>
            </w:r>
          </w:p>
        </w:tc>
        <w:tc>
          <w:tcPr>
            <w:tcW w:w="1320" w:type="dxa"/>
          </w:tcPr>
          <w:p>
            <w:pPr>
              <w:rPr>
                <w:rFonts w:hint="default" w:eastAsiaTheme="minor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人员经费</w:t>
            </w:r>
          </w:p>
        </w:tc>
        <w:tc>
          <w:tcPr>
            <w:tcW w:w="570" w:type="dxa"/>
          </w:tcPr>
          <w:p>
            <w:pPr>
              <w:rPr>
                <w:rFonts w:hint="default" w:eastAsiaTheme="minor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公用经费</w:t>
            </w:r>
          </w:p>
        </w:tc>
        <w:tc>
          <w:tcPr>
            <w:tcW w:w="1065" w:type="dxa"/>
            <w:vMerge w:val="continue"/>
          </w:tcPr>
          <w:p>
            <w:pPr>
              <w:rPr>
                <w:rFonts w:hint="eastAsia" w:eastAsiaTheme="minorEastAsia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41" w:type="dxa"/>
            <w:vMerge w:val="restart"/>
          </w:tcPr>
          <w:p>
            <w:pPr>
              <w:rPr>
                <w:rFonts w:hint="default" w:eastAsiaTheme="minor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类</w:t>
            </w:r>
          </w:p>
        </w:tc>
        <w:tc>
          <w:tcPr>
            <w:tcW w:w="430" w:type="dxa"/>
            <w:vMerge w:val="restart"/>
          </w:tcPr>
          <w:p>
            <w:pPr>
              <w:rPr>
                <w:rFonts w:hint="default" w:eastAsiaTheme="minor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款</w:t>
            </w:r>
          </w:p>
        </w:tc>
        <w:tc>
          <w:tcPr>
            <w:tcW w:w="560" w:type="dxa"/>
            <w:vMerge w:val="restart"/>
          </w:tcPr>
          <w:p>
            <w:pPr>
              <w:rPr>
                <w:rFonts w:hint="default" w:eastAsiaTheme="minor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项</w:t>
            </w:r>
          </w:p>
        </w:tc>
        <w:tc>
          <w:tcPr>
            <w:tcW w:w="2730" w:type="dxa"/>
          </w:tcPr>
          <w:p>
            <w:pPr>
              <w:rPr>
                <w:rFonts w:hint="default" w:eastAsiaTheme="minor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栏次</w:t>
            </w:r>
          </w:p>
        </w:tc>
        <w:tc>
          <w:tcPr>
            <w:tcW w:w="960" w:type="dxa"/>
          </w:tcPr>
          <w:p>
            <w:pPr>
              <w:rPr>
                <w:rFonts w:hint="default" w:eastAsiaTheme="minor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default" w:eastAsiaTheme="minor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320" w:type="dxa"/>
          </w:tcPr>
          <w:p>
            <w:pPr>
              <w:rPr>
                <w:rFonts w:hint="default" w:eastAsiaTheme="minor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570" w:type="dxa"/>
          </w:tcPr>
          <w:p>
            <w:pPr>
              <w:rPr>
                <w:rFonts w:hint="default" w:eastAsiaTheme="minor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065" w:type="dxa"/>
          </w:tcPr>
          <w:p>
            <w:pPr>
              <w:rPr>
                <w:rFonts w:hint="default" w:eastAsiaTheme="minor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41" w:type="dxa"/>
            <w:vMerge w:val="continue"/>
          </w:tcPr>
          <w:p>
            <w:pPr>
              <w:rPr>
                <w:highlight w:val="none"/>
              </w:rPr>
            </w:pPr>
          </w:p>
        </w:tc>
        <w:tc>
          <w:tcPr>
            <w:tcW w:w="430" w:type="dxa"/>
            <w:vMerge w:val="continue"/>
          </w:tcPr>
          <w:p>
            <w:pPr>
              <w:rPr>
                <w:highlight w:val="none"/>
              </w:rPr>
            </w:pPr>
          </w:p>
        </w:tc>
        <w:tc>
          <w:tcPr>
            <w:tcW w:w="560" w:type="dxa"/>
            <w:vMerge w:val="continue"/>
          </w:tcPr>
          <w:p>
            <w:pPr>
              <w:rPr>
                <w:highlight w:val="none"/>
              </w:rPr>
            </w:pPr>
          </w:p>
        </w:tc>
        <w:tc>
          <w:tcPr>
            <w:tcW w:w="2730" w:type="dxa"/>
          </w:tcPr>
          <w:p>
            <w:pPr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合计</w:t>
            </w:r>
          </w:p>
        </w:tc>
        <w:tc>
          <w:tcPr>
            <w:tcW w:w="960" w:type="dxa"/>
          </w:tcPr>
          <w:p>
            <w:pPr>
              <w:rPr>
                <w:rFonts w:hint="default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rPr>
                <w:rFonts w:hint="default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rPr>
                <w:rFonts w:hint="default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70" w:type="dxa"/>
          </w:tcPr>
          <w:p>
            <w:pPr>
              <w:rPr>
                <w:rFonts w:hint="default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rPr>
                <w:rFonts w:hint="default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</w:tcPr>
          <w:p>
            <w:pPr>
              <w:rPr>
                <w:rFonts w:hint="eastAsia" w:eastAsiaTheme="minorEastAsia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30" w:type="dxa"/>
          </w:tcPr>
          <w:p>
            <w:pPr>
              <w:rPr>
                <w:rFonts w:hint="eastAsia" w:eastAsiaTheme="minorEastAsia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60" w:type="dxa"/>
          </w:tcPr>
          <w:p>
            <w:pPr>
              <w:rPr>
                <w:rFonts w:hint="eastAsia" w:eastAsiaTheme="minorEastAsia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730" w:type="dxa"/>
          </w:tcPr>
          <w:p>
            <w:pPr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本部门无政府性基金预算</w:t>
            </w:r>
          </w:p>
        </w:tc>
        <w:tc>
          <w:tcPr>
            <w:tcW w:w="960" w:type="dxa"/>
          </w:tcPr>
          <w:p>
            <w:pPr>
              <w:rPr>
                <w:rFonts w:hint="eastAsia" w:eastAsiaTheme="minorEastAsia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rPr>
                <w:rFonts w:hint="eastAsia" w:eastAsiaTheme="minorEastAsia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70" w:type="dxa"/>
          </w:tcPr>
          <w:p>
            <w:pPr>
              <w:rPr>
                <w:rFonts w:hint="eastAsia" w:eastAsiaTheme="minorEastAsia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</w:tcPr>
          <w:p>
            <w:pPr>
              <w:rPr>
                <w:rFonts w:hint="eastAsia" w:eastAsiaTheme="minorEastAsia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30" w:type="dxa"/>
          </w:tcPr>
          <w:p>
            <w:pPr>
              <w:rPr>
                <w:rFonts w:hint="eastAsia" w:eastAsiaTheme="minorEastAsia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60" w:type="dxa"/>
          </w:tcPr>
          <w:p>
            <w:pPr>
              <w:rPr>
                <w:rFonts w:hint="eastAsia" w:eastAsiaTheme="minorEastAsia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730" w:type="dxa"/>
          </w:tcPr>
          <w:p>
            <w:pPr>
              <w:rPr>
                <w:rFonts w:hint="eastAsia" w:eastAsiaTheme="minorEastAsia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0" w:type="dxa"/>
          </w:tcPr>
          <w:p>
            <w:pPr>
              <w:rPr>
                <w:rFonts w:hint="eastAsia" w:eastAsiaTheme="minorEastAsia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rPr>
                <w:rFonts w:hint="eastAsia" w:eastAsiaTheme="minorEastAsia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70" w:type="dxa"/>
          </w:tcPr>
          <w:p>
            <w:pPr>
              <w:rPr>
                <w:rFonts w:hint="eastAsia" w:eastAsiaTheme="minorEastAsia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</w:tcPr>
          <w:p>
            <w:pPr>
              <w:rPr>
                <w:rFonts w:hint="eastAsia" w:eastAsiaTheme="minorEastAsia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30" w:type="dxa"/>
          </w:tcPr>
          <w:p>
            <w:pPr>
              <w:rPr>
                <w:rFonts w:hint="eastAsia" w:eastAsiaTheme="minorEastAsia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60" w:type="dxa"/>
          </w:tcPr>
          <w:p>
            <w:pPr>
              <w:rPr>
                <w:rFonts w:hint="eastAsia" w:eastAsiaTheme="minorEastAsia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730" w:type="dxa"/>
          </w:tcPr>
          <w:p>
            <w:pPr>
              <w:rPr>
                <w:rFonts w:hint="eastAsia" w:eastAsiaTheme="minorEastAsia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0" w:type="dxa"/>
          </w:tcPr>
          <w:p>
            <w:pPr>
              <w:rPr>
                <w:rFonts w:hint="eastAsia" w:eastAsiaTheme="minorEastAsia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rPr>
                <w:rFonts w:hint="eastAsia" w:eastAsiaTheme="minorEastAsia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70" w:type="dxa"/>
          </w:tcPr>
          <w:p>
            <w:pPr>
              <w:rPr>
                <w:rFonts w:hint="eastAsia" w:eastAsiaTheme="minorEastAsia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</w:tcPr>
          <w:p>
            <w:pPr>
              <w:rPr>
                <w:rFonts w:hint="eastAsia" w:eastAsiaTheme="minorEastAsia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30" w:type="dxa"/>
          </w:tcPr>
          <w:p>
            <w:pPr>
              <w:rPr>
                <w:rFonts w:hint="eastAsia" w:eastAsiaTheme="minorEastAsia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60" w:type="dxa"/>
          </w:tcPr>
          <w:p>
            <w:pPr>
              <w:rPr>
                <w:rFonts w:hint="eastAsia" w:eastAsiaTheme="minorEastAsia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730" w:type="dxa"/>
          </w:tcPr>
          <w:p>
            <w:pPr>
              <w:rPr>
                <w:rFonts w:hint="eastAsia" w:eastAsiaTheme="minorEastAsia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0" w:type="dxa"/>
          </w:tcPr>
          <w:p>
            <w:pPr>
              <w:rPr>
                <w:rFonts w:hint="eastAsia" w:eastAsiaTheme="minorEastAsia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rPr>
                <w:rFonts w:hint="eastAsia" w:eastAsiaTheme="minorEastAsia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70" w:type="dxa"/>
          </w:tcPr>
          <w:p>
            <w:pPr>
              <w:rPr>
                <w:rFonts w:hint="eastAsia" w:eastAsiaTheme="minorEastAsia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</w:tcPr>
          <w:p>
            <w:pPr>
              <w:rPr>
                <w:rFonts w:hint="eastAsia" w:eastAsiaTheme="minorEastAsia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30" w:type="dxa"/>
          </w:tcPr>
          <w:p>
            <w:pPr>
              <w:rPr>
                <w:rFonts w:hint="eastAsia" w:eastAsiaTheme="minorEastAsia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60" w:type="dxa"/>
          </w:tcPr>
          <w:p>
            <w:pPr>
              <w:rPr>
                <w:rFonts w:hint="eastAsia" w:eastAsiaTheme="minorEastAsia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730" w:type="dxa"/>
          </w:tcPr>
          <w:p>
            <w:pPr>
              <w:rPr>
                <w:rFonts w:hint="eastAsia" w:eastAsiaTheme="minorEastAsia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0" w:type="dxa"/>
          </w:tcPr>
          <w:p>
            <w:pPr>
              <w:rPr>
                <w:rFonts w:hint="eastAsia" w:eastAsiaTheme="minorEastAsia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rPr>
                <w:rFonts w:hint="eastAsia" w:eastAsiaTheme="minorEastAsia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70" w:type="dxa"/>
          </w:tcPr>
          <w:p>
            <w:pPr>
              <w:rPr>
                <w:rFonts w:hint="eastAsia" w:eastAsiaTheme="minorEastAsia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</w:tcPr>
          <w:p>
            <w:pPr>
              <w:rPr>
                <w:rFonts w:hint="eastAsia" w:eastAsiaTheme="minorEastAsia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30" w:type="dxa"/>
          </w:tcPr>
          <w:p>
            <w:pPr>
              <w:rPr>
                <w:rFonts w:hint="eastAsia" w:eastAsiaTheme="minorEastAsia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60" w:type="dxa"/>
          </w:tcPr>
          <w:p>
            <w:pPr>
              <w:rPr>
                <w:rFonts w:hint="eastAsia" w:eastAsiaTheme="minorEastAsia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730" w:type="dxa"/>
          </w:tcPr>
          <w:p>
            <w:pPr>
              <w:rPr>
                <w:rFonts w:hint="eastAsia" w:eastAsiaTheme="minorEastAsia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0" w:type="dxa"/>
          </w:tcPr>
          <w:p>
            <w:pPr>
              <w:rPr>
                <w:rFonts w:hint="eastAsia" w:eastAsiaTheme="minorEastAsia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rPr>
                <w:rFonts w:hint="eastAsia" w:eastAsiaTheme="minorEastAsia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70" w:type="dxa"/>
          </w:tcPr>
          <w:p>
            <w:pPr>
              <w:rPr>
                <w:rFonts w:hint="eastAsia" w:eastAsiaTheme="minorEastAsia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highlight w:val="none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 w:ascii="仿宋" w:hAnsi="仿宋" w:eastAsia="仿宋"/>
          <w:lang w:val="en-US" w:eastAsia="zh-CN"/>
        </w:rPr>
      </w:pPr>
    </w:p>
    <w:p>
      <w:pPr>
        <w:numPr>
          <w:ilvl w:val="0"/>
          <w:numId w:val="1"/>
        </w:numPr>
        <w:ind w:firstLine="640" w:firstLineChars="200"/>
        <w:jc w:val="center"/>
        <w:rPr>
          <w:rFonts w:hint="eastAsia" w:ascii="黑体" w:eastAsia="黑体"/>
          <w:lang w:val="en-US" w:eastAsia="zh-CN"/>
        </w:rPr>
      </w:pPr>
      <w:r>
        <w:rPr>
          <w:rFonts w:hint="eastAsia" w:ascii="黑体" w:eastAsia="黑体"/>
          <w:lang w:val="en-US" w:eastAsia="zh-CN"/>
        </w:rPr>
        <w:t>主要情况说明</w:t>
      </w:r>
    </w:p>
    <w:p>
      <w:pPr>
        <w:pStyle w:val="18"/>
        <w:ind w:firstLine="0" w:firstLineChars="0"/>
        <w:rPr>
          <w:rFonts w:hint="eastAsia"/>
        </w:rPr>
      </w:pPr>
      <w:r>
        <w:rPr>
          <w:rFonts w:hint="eastAsia"/>
          <w:lang w:val="en-US" w:eastAsia="zh-CN"/>
        </w:rPr>
        <w:t>一、</w:t>
      </w:r>
      <w:r>
        <w:rPr>
          <w:rFonts w:hint="eastAsia"/>
        </w:rPr>
        <w:t>预算收支增减变化情况说明</w:t>
      </w:r>
    </w:p>
    <w:p>
      <w:pPr>
        <w:pStyle w:val="18"/>
        <w:ind w:firstLine="640" w:firstLineChars="200"/>
        <w:rPr>
          <w:rFonts w:hint="eastAsia"/>
          <w:highlight w:val="none"/>
        </w:rPr>
      </w:pPr>
      <w:r>
        <w:t>收支预算总体情况按照综合预算的原则，所有收入和支出全部纳入部门预算管理。收入包括：一般公共预算拨款收入；支出包括：一般公共服务支出、科学技术支出、社会保障和就业支出等。</w:t>
      </w:r>
      <w:r>
        <w:rPr>
          <w:highlight w:val="none"/>
        </w:rPr>
        <w:t>2021 年收支总预算</w:t>
      </w:r>
      <w:r>
        <w:rPr>
          <w:rFonts w:hint="eastAsia"/>
          <w:highlight w:val="none"/>
          <w:lang w:val="en-US" w:eastAsia="zh-CN"/>
        </w:rPr>
        <w:t>117.9</w:t>
      </w:r>
      <w:r>
        <w:rPr>
          <w:highlight w:val="none"/>
        </w:rPr>
        <w:t xml:space="preserve">万元,比 2020 年预算增加 </w:t>
      </w:r>
      <w:r>
        <w:rPr>
          <w:rFonts w:hint="eastAsia"/>
          <w:highlight w:val="none"/>
          <w:lang w:val="en-US" w:eastAsia="zh-CN"/>
        </w:rPr>
        <w:t>59.9</w:t>
      </w:r>
      <w:r>
        <w:rPr>
          <w:highlight w:val="none"/>
        </w:rPr>
        <w:t>万元，主要原因是</w:t>
      </w:r>
      <w:r>
        <w:rPr>
          <w:rFonts w:hint="eastAsia"/>
          <w:highlight w:val="none"/>
          <w:lang w:val="en-US" w:eastAsia="zh-CN"/>
        </w:rPr>
        <w:t>2021年增加项目支出。</w:t>
      </w:r>
    </w:p>
    <w:p>
      <w:pPr>
        <w:pStyle w:val="18"/>
        <w:numPr>
          <w:ilvl w:val="0"/>
          <w:numId w:val="0"/>
        </w:numPr>
        <w:ind w:left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二、其他情况说明</w:t>
      </w:r>
    </w:p>
    <w:p>
      <w:pPr>
        <w:pStyle w:val="18"/>
        <w:numPr>
          <w:ilvl w:val="0"/>
          <w:numId w:val="2"/>
        </w:numPr>
        <w:ind w:firstLineChars="0"/>
        <w:rPr>
          <w:rFonts w:hint="eastAsia"/>
        </w:rPr>
      </w:pPr>
      <w:r>
        <w:t xml:space="preserve">机关运行经费安排情况说明 </w:t>
      </w:r>
    </w:p>
    <w:p>
      <w:pPr>
        <w:ind w:firstLine="640" w:firstLineChars="200"/>
        <w:rPr>
          <w:rFonts w:hint="eastAsia"/>
        </w:rPr>
      </w:pPr>
      <w:r>
        <w:rPr>
          <w:rFonts w:hint="eastAsia"/>
          <w:highlight w:val="none"/>
          <w:lang w:eastAsia="zh-CN"/>
        </w:rPr>
        <w:t>无</w:t>
      </w:r>
      <w:r>
        <w:rPr>
          <w:highlight w:val="none"/>
        </w:rPr>
        <w:t>。</w:t>
      </w:r>
      <w:r>
        <w:t xml:space="preserve"> </w:t>
      </w:r>
    </w:p>
    <w:p>
      <w:pPr>
        <w:pStyle w:val="18"/>
        <w:numPr>
          <w:ilvl w:val="0"/>
          <w:numId w:val="2"/>
        </w:numPr>
        <w:ind w:firstLineChars="0"/>
        <w:rPr>
          <w:rFonts w:hint="eastAsia"/>
        </w:rPr>
      </w:pPr>
      <w:r>
        <w:t>政府采购预算安排情况说明</w:t>
      </w:r>
    </w:p>
    <w:p>
      <w:pPr>
        <w:ind w:firstLine="640" w:firstLineChars="200"/>
        <w:rPr>
          <w:rFonts w:hint="eastAsia" w:eastAsia="仿宋_GB2312"/>
          <w:lang w:eastAsia="zh-CN"/>
        </w:rPr>
      </w:pPr>
      <w:r>
        <w:rPr>
          <w:rFonts w:hint="eastAsia"/>
          <w:highlight w:val="none"/>
          <w:lang w:eastAsia="zh-CN"/>
        </w:rPr>
        <w:t>无。</w:t>
      </w:r>
    </w:p>
    <w:p>
      <w:pPr>
        <w:pStyle w:val="18"/>
        <w:numPr>
          <w:ilvl w:val="0"/>
          <w:numId w:val="2"/>
        </w:numPr>
        <w:ind w:firstLineChars="0"/>
        <w:rPr>
          <w:rFonts w:hint="eastAsia"/>
        </w:rPr>
      </w:pPr>
      <w:r>
        <w:t xml:space="preserve">国有资产占用情况说明 </w:t>
      </w:r>
    </w:p>
    <w:p>
      <w:pPr>
        <w:ind w:firstLine="640" w:firstLineChars="200"/>
        <w:rPr>
          <w:rFonts w:hint="eastAsia"/>
        </w:rPr>
      </w:pPr>
      <w:r>
        <w:rPr>
          <w:rFonts w:hint="eastAsia"/>
          <w:highlight w:val="none"/>
          <w:lang w:val="en-US" w:eastAsia="zh-CN"/>
        </w:rPr>
        <w:t>无。</w:t>
      </w:r>
      <w:r>
        <w:t xml:space="preserve"> </w:t>
      </w:r>
    </w:p>
    <w:p>
      <w:pPr>
        <w:pStyle w:val="18"/>
        <w:numPr>
          <w:ilvl w:val="0"/>
          <w:numId w:val="2"/>
        </w:numPr>
        <w:ind w:firstLineChars="0"/>
        <w:rPr>
          <w:rFonts w:hint="eastAsia"/>
        </w:rPr>
      </w:pPr>
      <w:r>
        <w:t xml:space="preserve">重点项目预算的绩效目标等预算绩效情况说明 </w:t>
      </w:r>
    </w:p>
    <w:p>
      <w:pPr>
        <w:ind w:firstLine="640" w:firstLineChars="200"/>
        <w:rPr>
          <w:rFonts w:hint="eastAsia" w:eastAsia="仿宋_GB2312"/>
          <w:highlight w:val="yellow"/>
          <w:lang w:eastAsia="zh-CN"/>
        </w:rPr>
      </w:pPr>
      <w:r>
        <w:rPr>
          <w:rFonts w:hint="eastAsia"/>
          <w:highlight w:val="none"/>
          <w:lang w:eastAsia="zh-CN"/>
        </w:rPr>
        <w:t>长白朝鲜族自治县长白山中药研究所</w:t>
      </w:r>
      <w:r>
        <w:rPr>
          <w:rFonts w:hint="eastAsia"/>
          <w:highlight w:val="none"/>
        </w:rPr>
        <w:t>单位无重点绩效目标</w:t>
      </w:r>
      <w:r>
        <w:rPr>
          <w:rFonts w:hint="eastAsia"/>
          <w:highlight w:val="none"/>
          <w:lang w:eastAsia="zh-CN"/>
        </w:rPr>
        <w:t>。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（五）三公经费情况</w:t>
      </w:r>
      <w:bookmarkStart w:id="0" w:name="_GoBack"/>
      <w:bookmarkEnd w:id="0"/>
    </w:p>
    <w:tbl>
      <w:tblPr>
        <w:tblStyle w:val="9"/>
        <w:tblW w:w="1009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19"/>
        <w:gridCol w:w="1984"/>
        <w:gridCol w:w="2127"/>
        <w:gridCol w:w="16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31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楷体_GB2312" w:eastAsia="楷体_GB2312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楷体_GB2312" w:eastAsia="楷体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楷体_GB2312" w:eastAsia="楷体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000000"/>
                <w:kern w:val="0"/>
                <w:sz w:val="22"/>
                <w:szCs w:val="22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4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kern w:val="0"/>
                <w:sz w:val="24"/>
                <w:szCs w:val="24"/>
              </w:rPr>
              <w:t>项    目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kern w:val="0"/>
                <w:sz w:val="24"/>
                <w:szCs w:val="24"/>
              </w:rPr>
              <w:t>2021年</w:t>
            </w:r>
            <w:r>
              <w:rPr>
                <w:rFonts w:hint="eastAsia" w:ascii="楷体_GB2312" w:eastAsia="楷体_GB2312"/>
                <w:kern w:val="0"/>
                <w:sz w:val="24"/>
                <w:szCs w:val="24"/>
              </w:rPr>
              <w:t>预</w:t>
            </w:r>
            <w:r>
              <w:rPr>
                <w:rFonts w:hint="eastAsia" w:ascii="楷体_GB2312" w:eastAsia="楷体_GB2312"/>
                <w:color w:val="000000"/>
                <w:kern w:val="0"/>
                <w:sz w:val="24"/>
                <w:szCs w:val="24"/>
              </w:rPr>
              <w:t>算数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kern w:val="0"/>
                <w:sz w:val="24"/>
                <w:szCs w:val="24"/>
              </w:rPr>
              <w:t>比2020年预算数减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kern w:val="0"/>
                <w:sz w:val="24"/>
                <w:szCs w:val="24"/>
              </w:rPr>
              <w:t>增减变化原因说明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4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kern w:val="0"/>
                <w:sz w:val="24"/>
                <w:szCs w:val="24"/>
              </w:rPr>
              <w:t>合 计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楷体_GB2312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楷体_GB2312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楷体_GB2312" w:eastAsia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 w:firstLineChars="100"/>
              <w:jc w:val="left"/>
              <w:rPr>
                <w:rFonts w:ascii="楷体_GB2312" w:eastAsia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kern w:val="0"/>
                <w:sz w:val="24"/>
                <w:szCs w:val="24"/>
              </w:rPr>
              <w:t>1、因公出国（境）费用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楷体_GB2312"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楷体_GB2312"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楷体_GB2312" w:eastAsia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4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 w:firstLineChars="100"/>
              <w:jc w:val="left"/>
              <w:rPr>
                <w:rFonts w:ascii="楷体_GB2312" w:eastAsia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kern w:val="0"/>
                <w:sz w:val="24"/>
                <w:szCs w:val="24"/>
              </w:rPr>
              <w:t>2、公务接待费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楷体_GB2312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楷体_GB2312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楷体_GB2312" w:eastAsia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 w:firstLineChars="100"/>
              <w:jc w:val="left"/>
              <w:rPr>
                <w:rFonts w:ascii="楷体_GB2312" w:eastAsia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kern w:val="0"/>
                <w:sz w:val="24"/>
                <w:szCs w:val="24"/>
              </w:rPr>
              <w:t>3、公务用车费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楷体_GB2312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楷体_GB2312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楷体_GB2312" w:eastAsia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4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480" w:firstLineChars="200"/>
              <w:jc w:val="left"/>
              <w:rPr>
                <w:rFonts w:ascii="楷体_GB2312" w:eastAsia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kern w:val="0"/>
                <w:sz w:val="24"/>
                <w:szCs w:val="24"/>
              </w:rPr>
              <w:t>其中：（1）公务用车运行维护费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楷体_GB2312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楷体_GB2312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楷体_GB2312" w:eastAsia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4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kern w:val="0"/>
                <w:sz w:val="24"/>
                <w:szCs w:val="24"/>
              </w:rPr>
              <w:t xml:space="preserve">          （2）公务用车购置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楷体_GB2312"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楷体_GB2312"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楷体_GB2312" w:eastAsia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>
      <w:pPr>
        <w:widowControl/>
        <w:jc w:val="left"/>
        <w:rPr>
          <w:rFonts w:ascii="楷体_GB2312" w:eastAsia="楷体_GB2312"/>
          <w:color w:val="000000"/>
          <w:kern w:val="0"/>
          <w:sz w:val="24"/>
          <w:szCs w:val="24"/>
        </w:rPr>
      </w:pPr>
      <w:r>
        <w:rPr>
          <w:rFonts w:hint="eastAsia" w:ascii="楷体_GB2312" w:eastAsia="楷体_GB2312"/>
          <w:color w:val="000000"/>
          <w:kern w:val="0"/>
          <w:sz w:val="24"/>
          <w:szCs w:val="24"/>
        </w:rPr>
        <w:t>说明：</w:t>
      </w:r>
      <w:r>
        <w:rPr>
          <w:rFonts w:hint="eastAsia" w:ascii="楷体_GB2312" w:eastAsia="楷体_GB2312"/>
          <w:color w:val="000000"/>
          <w:kern w:val="0"/>
          <w:sz w:val="24"/>
          <w:szCs w:val="24"/>
        </w:rPr>
        <w:br w:type="textWrapping"/>
      </w:r>
      <w:r>
        <w:rPr>
          <w:rFonts w:hint="eastAsia" w:ascii="楷体_GB2312" w:eastAsia="楷体_GB2312"/>
          <w:color w:val="000000"/>
          <w:kern w:val="0"/>
          <w:sz w:val="24"/>
          <w:szCs w:val="24"/>
        </w:rPr>
        <w:t xml:space="preserve">      1、“2021年预算数”的单位范围包括部门本级及所属</w:t>
      </w:r>
      <w:r>
        <w:rPr>
          <w:rFonts w:hint="eastAsia" w:ascii="楷体_GB2312" w:eastAsia="楷体_GB2312"/>
          <w:color w:val="000000"/>
          <w:kern w:val="0"/>
          <w:sz w:val="24"/>
          <w:szCs w:val="24"/>
          <w:u w:val="single"/>
        </w:rPr>
        <w:t xml:space="preserve">  1</w:t>
      </w:r>
      <w:r>
        <w:rPr>
          <w:rFonts w:hint="eastAsia" w:ascii="楷体_GB2312" w:eastAsia="楷体_GB2312"/>
          <w:color w:val="000000"/>
          <w:kern w:val="0"/>
          <w:sz w:val="24"/>
          <w:szCs w:val="24"/>
        </w:rPr>
        <w:t xml:space="preserve">个预算单位。   </w:t>
      </w:r>
      <w:r>
        <w:rPr>
          <w:rFonts w:hint="eastAsia" w:ascii="楷体_GB2312" w:eastAsia="楷体_GB2312"/>
          <w:color w:val="000000"/>
          <w:kern w:val="0"/>
          <w:sz w:val="24"/>
          <w:szCs w:val="24"/>
        </w:rPr>
        <w:br w:type="textWrapping"/>
      </w:r>
      <w:r>
        <w:rPr>
          <w:rFonts w:hint="eastAsia" w:ascii="楷体_GB2312" w:eastAsia="楷体_GB2312"/>
          <w:color w:val="000000"/>
          <w:kern w:val="0"/>
          <w:sz w:val="24"/>
          <w:szCs w:val="24"/>
        </w:rPr>
        <w:t xml:space="preserve">      2、  2021年度计划本单位组织出国(境)团组  0 个，参加其他单位组织的出国(境)团组   个；本单位全年因公出国(境)累计 0 人次。</w:t>
      </w:r>
    </w:p>
    <w:p>
      <w:pPr>
        <w:widowControl/>
        <w:jc w:val="left"/>
        <w:rPr>
          <w:rFonts w:ascii="楷体_GB2312" w:eastAsia="楷体_GB2312"/>
          <w:color w:val="000000"/>
          <w:kern w:val="0"/>
          <w:sz w:val="24"/>
          <w:szCs w:val="24"/>
        </w:rPr>
      </w:pPr>
      <w:r>
        <w:rPr>
          <w:rFonts w:hint="eastAsia" w:ascii="楷体_GB2312" w:eastAsia="楷体_GB2312"/>
          <w:color w:val="000000"/>
          <w:kern w:val="0"/>
          <w:sz w:val="24"/>
          <w:szCs w:val="24"/>
        </w:rPr>
        <w:t xml:space="preserve">      3、  2021年度本单位计划购置公务用车0辆，年末公务用车保有量</w:t>
      </w:r>
      <w:r>
        <w:rPr>
          <w:rFonts w:hint="eastAsia" w:ascii="楷体_GB2312" w:eastAsia="楷体_GB2312"/>
          <w:color w:val="000000"/>
          <w:kern w:val="0"/>
          <w:sz w:val="24"/>
          <w:szCs w:val="24"/>
          <w:lang w:val="en-US" w:eastAsia="zh-CN"/>
        </w:rPr>
        <w:t>0</w:t>
      </w:r>
      <w:r>
        <w:rPr>
          <w:rFonts w:hint="eastAsia" w:ascii="楷体_GB2312" w:eastAsia="楷体_GB2312"/>
          <w:color w:val="000000"/>
          <w:kern w:val="0"/>
          <w:sz w:val="24"/>
          <w:szCs w:val="24"/>
        </w:rPr>
        <w:t xml:space="preserve"> 辆。</w:t>
      </w:r>
    </w:p>
    <w:p>
      <w:pPr>
        <w:widowControl/>
        <w:jc w:val="left"/>
        <w:rPr>
          <w:rFonts w:hint="eastAsia" w:ascii="楷体_GB2312" w:eastAsia="楷体_GB2312"/>
          <w:color w:val="000000"/>
          <w:kern w:val="0"/>
          <w:sz w:val="24"/>
          <w:szCs w:val="24"/>
        </w:rPr>
      </w:pPr>
      <w:r>
        <w:rPr>
          <w:rFonts w:hint="eastAsia" w:ascii="楷体_GB2312" w:eastAsia="楷体_GB2312"/>
          <w:color w:val="000000"/>
          <w:kern w:val="0"/>
          <w:sz w:val="24"/>
          <w:szCs w:val="24"/>
        </w:rPr>
        <w:t xml:space="preserve">      （“三公”经费不允许突破财政预算控制数，说明部分，根据单位实际情况填写，公务出国，公车购置没有预算可不列）</w:t>
      </w:r>
    </w:p>
    <w:p>
      <w:pPr>
        <w:pStyle w:val="18"/>
        <w:numPr>
          <w:numId w:val="0"/>
        </w:numPr>
        <w:ind w:leftChars="0"/>
        <w:rPr>
          <w:rFonts w:hint="eastAsia"/>
        </w:rPr>
      </w:pPr>
      <w:r>
        <w:rPr>
          <w:rFonts w:hint="eastAsia"/>
          <w:lang w:eastAsia="zh-CN"/>
        </w:rPr>
        <w:t>（六）</w:t>
      </w:r>
      <w:r>
        <w:t xml:space="preserve">国有资产占用情况说明 </w:t>
      </w:r>
    </w:p>
    <w:p>
      <w:pPr>
        <w:ind w:firstLine="640" w:firstLineChars="200"/>
        <w:rPr>
          <w:rFonts w:hint="eastAsia"/>
        </w:rPr>
      </w:pPr>
      <w:r>
        <w:rPr>
          <w:rFonts w:hint="eastAsia"/>
          <w:highlight w:val="none"/>
          <w:lang w:val="en-US" w:eastAsia="zh-CN"/>
        </w:rPr>
        <w:t>本部门/单位</w:t>
      </w:r>
      <w:r>
        <w:rPr>
          <w:highlight w:val="none"/>
        </w:rPr>
        <w:t>共有车辆</w:t>
      </w:r>
      <w:r>
        <w:rPr>
          <w:rFonts w:hint="eastAsia"/>
          <w:highlight w:val="none"/>
          <w:lang w:val="en-US" w:eastAsia="zh-CN"/>
        </w:rPr>
        <w:t>0</w:t>
      </w:r>
      <w:r>
        <w:rPr>
          <w:highlight w:val="none"/>
        </w:rPr>
        <w:t>辆，其中，领导干部用车</w:t>
      </w:r>
      <w:r>
        <w:rPr>
          <w:rFonts w:hint="eastAsia"/>
          <w:highlight w:val="none"/>
          <w:lang w:val="en-US" w:eastAsia="zh-CN"/>
        </w:rPr>
        <w:t>0</w:t>
      </w:r>
      <w:r>
        <w:rPr>
          <w:highlight w:val="none"/>
        </w:rPr>
        <w:t>辆、一般公务用车</w:t>
      </w:r>
      <w:r>
        <w:rPr>
          <w:rFonts w:hint="eastAsia"/>
          <w:highlight w:val="none"/>
          <w:lang w:val="en-US" w:eastAsia="zh-CN"/>
        </w:rPr>
        <w:t>0</w:t>
      </w:r>
      <w:r>
        <w:rPr>
          <w:highlight w:val="none"/>
        </w:rPr>
        <w:t>辆、一般执法执勤用车</w:t>
      </w:r>
      <w:r>
        <w:rPr>
          <w:rFonts w:hint="eastAsia"/>
          <w:highlight w:val="none"/>
          <w:lang w:val="en-US" w:eastAsia="zh-CN"/>
        </w:rPr>
        <w:t>0</w:t>
      </w:r>
      <w:r>
        <w:rPr>
          <w:highlight w:val="none"/>
        </w:rPr>
        <w:t>辆、 特种专业技术用车</w:t>
      </w:r>
      <w:r>
        <w:rPr>
          <w:rFonts w:hint="eastAsia"/>
          <w:highlight w:val="none"/>
          <w:lang w:val="en-US" w:eastAsia="zh-CN"/>
        </w:rPr>
        <w:t>0</w:t>
      </w:r>
      <w:r>
        <w:rPr>
          <w:highlight w:val="none"/>
        </w:rPr>
        <w:t>辆、其他用车</w:t>
      </w:r>
      <w:r>
        <w:rPr>
          <w:rFonts w:hint="eastAsia"/>
          <w:highlight w:val="none"/>
          <w:lang w:val="en-US" w:eastAsia="zh-CN"/>
        </w:rPr>
        <w:t>0</w:t>
      </w:r>
      <w:r>
        <w:rPr>
          <w:highlight w:val="none"/>
        </w:rPr>
        <w:t>辆。单位价值200万元以上大型设备</w:t>
      </w:r>
      <w:r>
        <w:rPr>
          <w:rFonts w:hint="eastAsia"/>
          <w:highlight w:val="none"/>
          <w:lang w:val="en-US" w:eastAsia="zh-CN"/>
        </w:rPr>
        <w:t>0</w:t>
      </w:r>
      <w:r>
        <w:rPr>
          <w:highlight w:val="none"/>
        </w:rPr>
        <w:t>台（套）。</w:t>
      </w:r>
      <w:r>
        <w:t xml:space="preserve">  </w:t>
      </w:r>
    </w:p>
    <w:p>
      <w:pPr>
        <w:widowControl/>
        <w:jc w:val="left"/>
        <w:rPr>
          <w:rFonts w:hint="eastAsia" w:ascii="楷体_GB2312" w:eastAsia="楷体_GB2312"/>
          <w:color w:val="000000"/>
          <w:kern w:val="0"/>
          <w:sz w:val="24"/>
          <w:szCs w:val="24"/>
        </w:rPr>
      </w:pPr>
    </w:p>
    <w:p>
      <w:pPr>
        <w:jc w:val="center"/>
        <w:rPr>
          <w:rFonts w:ascii="方正小标宋简体" w:hAnsi="方正小标宋简体" w:eastAsia="方正小标宋简体"/>
          <w:sz w:val="44"/>
        </w:rPr>
      </w:pPr>
      <w:r>
        <w:rPr>
          <w:rFonts w:hint="eastAsia" w:ascii="方正小标宋简体" w:hAnsi="方正小标宋简体" w:eastAsia="方正小标宋简体"/>
          <w:sz w:val="44"/>
        </w:rPr>
        <w:t>第四部分  名词解释</w:t>
      </w:r>
    </w:p>
    <w:p>
      <w:pPr>
        <w:ind w:firstLine="640" w:firstLineChars="200"/>
        <w:rPr>
          <w:rFonts w:ascii="仿宋" w:hAnsi="仿宋" w:eastAsia="仿宋"/>
        </w:rPr>
      </w:pPr>
    </w:p>
    <w:p>
      <w:pPr>
        <w:widowControl/>
        <w:ind w:firstLine="424" w:firstLineChars="177"/>
        <w:jc w:val="left"/>
        <w:rPr>
          <w:rFonts w:ascii="楷体_GB2312" w:eastAsia="楷体_GB2312"/>
          <w:color w:val="000000"/>
          <w:kern w:val="0"/>
          <w:sz w:val="24"/>
          <w:szCs w:val="24"/>
        </w:rPr>
      </w:pPr>
      <w:r>
        <w:rPr>
          <w:rFonts w:hint="eastAsia" w:ascii="楷体_GB2312" w:eastAsia="楷体_GB2312"/>
          <w:color w:val="000000"/>
          <w:kern w:val="0"/>
          <w:sz w:val="24"/>
          <w:szCs w:val="24"/>
        </w:rPr>
        <w:t>一、财政拨款收入：指单位从同级财政部门取得的财政预算资金。</w:t>
      </w:r>
    </w:p>
    <w:p>
      <w:pPr>
        <w:widowControl/>
        <w:ind w:firstLine="424" w:firstLineChars="177"/>
        <w:jc w:val="left"/>
        <w:rPr>
          <w:rFonts w:ascii="楷体_GB2312" w:eastAsia="楷体_GB2312"/>
          <w:color w:val="000000"/>
          <w:kern w:val="0"/>
          <w:sz w:val="24"/>
          <w:szCs w:val="24"/>
        </w:rPr>
      </w:pPr>
      <w:r>
        <w:rPr>
          <w:rFonts w:hint="eastAsia" w:ascii="楷体_GB2312" w:eastAsia="楷体_GB2312"/>
          <w:color w:val="000000"/>
          <w:kern w:val="0"/>
          <w:sz w:val="24"/>
          <w:szCs w:val="24"/>
          <w:lang w:eastAsia="zh-CN"/>
        </w:rPr>
        <w:t>二</w:t>
      </w:r>
      <w:r>
        <w:rPr>
          <w:rFonts w:hint="eastAsia" w:ascii="楷体_GB2312" w:eastAsia="楷体_GB2312"/>
          <w:color w:val="000000"/>
          <w:kern w:val="0"/>
          <w:sz w:val="24"/>
          <w:szCs w:val="24"/>
        </w:rPr>
        <w:t>、</w:t>
      </w:r>
      <w:r>
        <w:rPr>
          <w:rFonts w:ascii="楷体_GB2312" w:eastAsia="楷体_GB2312"/>
          <w:color w:val="000000"/>
          <w:kern w:val="0"/>
          <w:sz w:val="24"/>
          <w:szCs w:val="24"/>
        </w:rPr>
        <w:t>基本支出：</w:t>
      </w:r>
      <w:r>
        <w:rPr>
          <w:rFonts w:hint="eastAsia" w:ascii="楷体_GB2312" w:eastAsia="楷体_GB2312"/>
          <w:color w:val="000000"/>
          <w:kern w:val="0"/>
          <w:sz w:val="24"/>
          <w:szCs w:val="24"/>
        </w:rPr>
        <w:t>指单位为</w:t>
      </w:r>
      <w:r>
        <w:rPr>
          <w:rFonts w:ascii="楷体_GB2312" w:eastAsia="楷体_GB2312"/>
          <w:color w:val="000000"/>
          <w:kern w:val="0"/>
          <w:sz w:val="24"/>
          <w:szCs w:val="24"/>
        </w:rPr>
        <w:t>保障</w:t>
      </w:r>
      <w:r>
        <w:rPr>
          <w:rFonts w:hint="eastAsia" w:ascii="楷体_GB2312" w:eastAsia="楷体_GB2312"/>
          <w:color w:val="000000"/>
          <w:kern w:val="0"/>
          <w:sz w:val="24"/>
          <w:szCs w:val="24"/>
        </w:rPr>
        <w:t>其</w:t>
      </w:r>
      <w:r>
        <w:rPr>
          <w:rFonts w:ascii="楷体_GB2312" w:eastAsia="楷体_GB2312"/>
          <w:color w:val="000000"/>
          <w:kern w:val="0"/>
          <w:sz w:val="24"/>
          <w:szCs w:val="24"/>
        </w:rPr>
        <w:t>机构正常运转、完成日常工作任务而发生的</w:t>
      </w:r>
      <w:r>
        <w:rPr>
          <w:rFonts w:hint="eastAsia" w:ascii="楷体_GB2312" w:eastAsia="楷体_GB2312"/>
          <w:color w:val="000000"/>
          <w:kern w:val="0"/>
          <w:sz w:val="24"/>
          <w:szCs w:val="24"/>
        </w:rPr>
        <w:t>人员支出和公用支出</w:t>
      </w:r>
      <w:r>
        <w:rPr>
          <w:rFonts w:ascii="楷体_GB2312" w:eastAsia="楷体_GB2312"/>
          <w:color w:val="000000"/>
          <w:kern w:val="0"/>
          <w:sz w:val="24"/>
          <w:szCs w:val="24"/>
        </w:rPr>
        <w:t>。</w:t>
      </w:r>
    </w:p>
    <w:p>
      <w:pPr>
        <w:widowControl/>
        <w:ind w:firstLine="424" w:firstLineChars="177"/>
        <w:jc w:val="left"/>
        <w:rPr>
          <w:rFonts w:ascii="楷体_GB2312" w:eastAsia="楷体_GB2312"/>
          <w:color w:val="000000"/>
          <w:kern w:val="0"/>
          <w:sz w:val="24"/>
          <w:szCs w:val="24"/>
        </w:rPr>
      </w:pPr>
      <w:r>
        <w:rPr>
          <w:rFonts w:hint="eastAsia" w:ascii="楷体_GB2312" w:eastAsia="楷体_GB2312"/>
          <w:color w:val="000000"/>
          <w:kern w:val="0"/>
          <w:sz w:val="24"/>
          <w:szCs w:val="24"/>
          <w:lang w:eastAsia="zh-CN"/>
        </w:rPr>
        <w:t>三</w:t>
      </w:r>
      <w:r>
        <w:rPr>
          <w:rFonts w:hint="eastAsia" w:ascii="楷体_GB2312" w:eastAsia="楷体_GB2312"/>
          <w:color w:val="000000"/>
          <w:kern w:val="0"/>
          <w:sz w:val="24"/>
          <w:szCs w:val="24"/>
        </w:rPr>
        <w:t>、</w:t>
      </w:r>
      <w:r>
        <w:rPr>
          <w:rFonts w:ascii="楷体_GB2312" w:eastAsia="楷体_GB2312"/>
          <w:color w:val="000000"/>
          <w:kern w:val="0"/>
          <w:sz w:val="24"/>
          <w:szCs w:val="24"/>
        </w:rPr>
        <w:t>项目支出：</w:t>
      </w:r>
      <w:r>
        <w:rPr>
          <w:rFonts w:hint="eastAsia" w:ascii="楷体_GB2312" w:eastAsia="楷体_GB2312"/>
          <w:color w:val="000000"/>
          <w:kern w:val="0"/>
          <w:sz w:val="24"/>
          <w:szCs w:val="24"/>
        </w:rPr>
        <w:t>指单位为完成特</w:t>
      </w:r>
      <w:r>
        <w:rPr>
          <w:rFonts w:ascii="楷体_GB2312" w:eastAsia="楷体_GB2312"/>
          <w:color w:val="000000"/>
          <w:kern w:val="0"/>
          <w:sz w:val="24"/>
          <w:szCs w:val="24"/>
        </w:rPr>
        <w:t>定行政任务</w:t>
      </w:r>
      <w:r>
        <w:rPr>
          <w:rFonts w:hint="eastAsia" w:ascii="楷体_GB2312" w:eastAsia="楷体_GB2312"/>
          <w:color w:val="000000"/>
          <w:kern w:val="0"/>
          <w:sz w:val="24"/>
          <w:szCs w:val="24"/>
        </w:rPr>
        <w:t>和</w:t>
      </w:r>
      <w:r>
        <w:rPr>
          <w:rFonts w:ascii="楷体_GB2312" w:eastAsia="楷体_GB2312"/>
          <w:color w:val="000000"/>
          <w:kern w:val="0"/>
          <w:sz w:val="24"/>
          <w:szCs w:val="24"/>
        </w:rPr>
        <w:t>事业发展目标</w:t>
      </w:r>
      <w:r>
        <w:rPr>
          <w:rFonts w:hint="eastAsia" w:ascii="楷体_GB2312" w:eastAsia="楷体_GB2312"/>
          <w:color w:val="000000"/>
          <w:kern w:val="0"/>
          <w:sz w:val="24"/>
          <w:szCs w:val="24"/>
        </w:rPr>
        <w:t>在基本支出之外所</w:t>
      </w:r>
      <w:r>
        <w:rPr>
          <w:rFonts w:ascii="楷体_GB2312" w:eastAsia="楷体_GB2312"/>
          <w:color w:val="000000"/>
          <w:kern w:val="0"/>
          <w:sz w:val="24"/>
          <w:szCs w:val="24"/>
        </w:rPr>
        <w:t>发生的支出。</w:t>
      </w:r>
    </w:p>
    <w:p>
      <w:pPr>
        <w:widowControl/>
        <w:ind w:firstLine="424" w:firstLineChars="177"/>
        <w:jc w:val="left"/>
        <w:rPr>
          <w:rFonts w:ascii="楷体_GB2312" w:eastAsia="楷体_GB2312"/>
          <w:color w:val="000000"/>
          <w:kern w:val="0"/>
          <w:sz w:val="24"/>
          <w:szCs w:val="24"/>
        </w:rPr>
      </w:pPr>
      <w:r>
        <w:rPr>
          <w:rFonts w:hint="eastAsia" w:ascii="楷体_GB2312" w:eastAsia="楷体_GB2312"/>
          <w:color w:val="000000"/>
          <w:kern w:val="0"/>
          <w:sz w:val="24"/>
          <w:szCs w:val="24"/>
          <w:lang w:eastAsia="zh-CN"/>
        </w:rPr>
        <w:t>四</w:t>
      </w:r>
      <w:r>
        <w:rPr>
          <w:rFonts w:hint="eastAsia" w:ascii="楷体_GB2312" w:eastAsia="楷体_GB2312"/>
          <w:color w:val="000000"/>
          <w:kern w:val="0"/>
          <w:sz w:val="24"/>
          <w:szCs w:val="24"/>
        </w:rPr>
        <w:t>、“三公”经费：纳入财政预决算管理的“三公”经费，是指部门用财政拨示安排的因公出国（境）费、公务用车购置及运行费和公务接待费。是党政机关维持运转或完成特定工作任务所开支的相关支出，是政府行政开支的一部分。其中，</w:t>
      </w:r>
      <w:r>
        <w:rPr>
          <w:rFonts w:ascii="楷体_GB2312" w:eastAsia="楷体_GB2312"/>
          <w:color w:val="000000"/>
          <w:kern w:val="0"/>
          <w:sz w:val="24"/>
          <w:szCs w:val="24"/>
        </w:rPr>
        <w:t>因公出国（境）费</w:t>
      </w:r>
      <w:r>
        <w:rPr>
          <w:rFonts w:hint="eastAsia" w:ascii="楷体_GB2312" w:eastAsia="楷体_GB2312"/>
          <w:color w:val="000000"/>
          <w:kern w:val="0"/>
          <w:sz w:val="24"/>
          <w:szCs w:val="24"/>
        </w:rPr>
        <w:t>反映公务出国（境）的</w:t>
      </w:r>
      <w:r>
        <w:rPr>
          <w:rFonts w:ascii="楷体_GB2312" w:eastAsia="楷体_GB2312"/>
          <w:color w:val="000000"/>
          <w:kern w:val="0"/>
          <w:sz w:val="24"/>
          <w:szCs w:val="24"/>
        </w:rPr>
        <w:t>国际旅费、国外城市间交通费、住宿费、伙食费、培训费、公杂费等支出</w:t>
      </w:r>
      <w:r>
        <w:rPr>
          <w:rFonts w:hint="eastAsia" w:ascii="楷体_GB2312" w:eastAsia="楷体_GB2312"/>
          <w:color w:val="000000"/>
          <w:kern w:val="0"/>
          <w:sz w:val="24"/>
          <w:szCs w:val="24"/>
        </w:rPr>
        <w:t>；公务用车购置及运行费反映单位公务用车车辆购置支出（含车辆购置税）及</w:t>
      </w:r>
      <w:r>
        <w:rPr>
          <w:rFonts w:ascii="楷体_GB2312" w:eastAsia="楷体_GB2312"/>
          <w:color w:val="000000"/>
          <w:kern w:val="0"/>
          <w:sz w:val="24"/>
          <w:szCs w:val="24"/>
        </w:rPr>
        <w:t>燃料费、维修费、过桥过路费、保险费、安全奖励费等支出</w:t>
      </w:r>
      <w:r>
        <w:rPr>
          <w:rFonts w:hint="eastAsia" w:ascii="楷体_GB2312" w:eastAsia="楷体_GB2312"/>
          <w:color w:val="000000"/>
          <w:kern w:val="0"/>
          <w:sz w:val="24"/>
          <w:szCs w:val="24"/>
        </w:rPr>
        <w:t>；</w:t>
      </w:r>
      <w:r>
        <w:rPr>
          <w:rFonts w:ascii="楷体_GB2312" w:eastAsia="楷体_GB2312"/>
          <w:color w:val="000000"/>
          <w:kern w:val="0"/>
          <w:sz w:val="24"/>
          <w:szCs w:val="24"/>
        </w:rPr>
        <w:t>公务接待费</w:t>
      </w:r>
      <w:r>
        <w:rPr>
          <w:rFonts w:hint="eastAsia" w:ascii="楷体_GB2312" w:eastAsia="楷体_GB2312"/>
          <w:color w:val="000000"/>
          <w:kern w:val="0"/>
          <w:sz w:val="24"/>
          <w:szCs w:val="24"/>
        </w:rPr>
        <w:t>反映</w:t>
      </w:r>
      <w:r>
        <w:rPr>
          <w:rFonts w:ascii="楷体_GB2312" w:eastAsia="楷体_GB2312"/>
          <w:color w:val="000000"/>
          <w:kern w:val="0"/>
          <w:sz w:val="24"/>
          <w:szCs w:val="24"/>
        </w:rPr>
        <w:t>单位按规定开支的各类公务接待（含外宾接待）</w:t>
      </w:r>
      <w:r>
        <w:rPr>
          <w:rFonts w:hint="eastAsia" w:ascii="楷体_GB2312" w:eastAsia="楷体_GB2312"/>
          <w:color w:val="000000"/>
          <w:kern w:val="0"/>
          <w:sz w:val="24"/>
          <w:szCs w:val="24"/>
        </w:rPr>
        <w:t>支出</w:t>
      </w:r>
      <w:r>
        <w:rPr>
          <w:rFonts w:ascii="楷体_GB2312" w:eastAsia="楷体_GB2312"/>
          <w:color w:val="000000"/>
          <w:kern w:val="0"/>
          <w:sz w:val="24"/>
          <w:szCs w:val="24"/>
        </w:rPr>
        <w:t>。</w:t>
      </w:r>
    </w:p>
    <w:p>
      <w:pPr>
        <w:widowControl/>
        <w:ind w:firstLine="424" w:firstLineChars="177"/>
        <w:jc w:val="left"/>
        <w:rPr>
          <w:rFonts w:ascii="楷体_GB2312" w:eastAsia="楷体_GB2312"/>
          <w:color w:val="000000"/>
          <w:kern w:val="0"/>
          <w:sz w:val="24"/>
          <w:szCs w:val="24"/>
        </w:rPr>
      </w:pPr>
      <w:r>
        <w:rPr>
          <w:rFonts w:hint="eastAsia" w:ascii="楷体_GB2312" w:eastAsia="楷体_GB2312"/>
          <w:color w:val="000000"/>
          <w:kern w:val="0"/>
          <w:sz w:val="24"/>
          <w:szCs w:val="24"/>
          <w:lang w:eastAsia="zh-CN"/>
        </w:rPr>
        <w:t>五</w:t>
      </w:r>
      <w:r>
        <w:rPr>
          <w:rFonts w:hint="eastAsia" w:ascii="楷体_GB2312" w:eastAsia="楷体_GB2312"/>
          <w:color w:val="000000"/>
          <w:kern w:val="0"/>
          <w:sz w:val="24"/>
          <w:szCs w:val="24"/>
        </w:rPr>
        <w:t>、机关运行经费：指为保障行政单位（含参照公务员法管理的事业单位）运行用于购买货物和服务的各项资金，包括办公及印刷费、邮电费、差旅费、会议费、福利费、日常维修费、专用材料及一般设备购置费、办公用房水电费、办公用房取暖费、办公用房物业管理费、公务用车运行维护费以及其他费用。</w:t>
      </w:r>
    </w:p>
    <w:sectPr>
      <w:headerReference r:id="rId3" w:type="default"/>
      <w:footerReference r:id="rId5" w:type="default"/>
      <w:headerReference r:id="rId4" w:type="even"/>
      <w:footerReference r:id="rId6" w:type="even"/>
      <w:type w:val="evenPage"/>
      <w:pgSz w:w="11907" w:h="16840"/>
      <w:pgMar w:top="2041" w:right="1588" w:bottom="2041" w:left="1588" w:header="851" w:footer="1588" w:gutter="0"/>
      <w:pgNumType w:start="0"/>
      <w:cols w:space="720" w:num="1"/>
      <w:titlePg/>
      <w:docGrid w:type="lines" w:linePitch="574" w:charSpace="-167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page" w:x="5372" w:y="-73"/>
      <w:rPr>
        <w:rStyle w:val="12"/>
        <w:sz w:val="28"/>
      </w:rPr>
    </w:pPr>
    <w:r>
      <w:rPr>
        <w:rStyle w:val="12"/>
        <w:rFonts w:hint="eastAsia"/>
        <w:sz w:val="28"/>
      </w:rPr>
      <w:t>—</w:t>
    </w:r>
    <w:r>
      <w:rPr>
        <w:sz w:val="28"/>
      </w:rPr>
      <w:fldChar w:fldCharType="begin"/>
    </w:r>
    <w:r>
      <w:rPr>
        <w:rStyle w:val="12"/>
        <w:sz w:val="28"/>
      </w:rPr>
      <w:instrText xml:space="preserve">PAGE  </w:instrText>
    </w:r>
    <w:r>
      <w:rPr>
        <w:sz w:val="28"/>
      </w:rPr>
      <w:fldChar w:fldCharType="separate"/>
    </w:r>
    <w:r>
      <w:rPr>
        <w:rStyle w:val="12"/>
        <w:sz w:val="28"/>
      </w:rPr>
      <w:t>1</w:t>
    </w:r>
    <w:r>
      <w:rPr>
        <w:sz w:val="28"/>
      </w:rPr>
      <w:fldChar w:fldCharType="end"/>
    </w:r>
    <w:r>
      <w:rPr>
        <w:rStyle w:val="12"/>
        <w:rFonts w:hint="eastAsia"/>
        <w:sz w:val="28"/>
      </w:rPr>
      <w:t>—</w:t>
    </w:r>
  </w:p>
  <w:p>
    <w:pPr>
      <w:pStyle w:val="6"/>
      <w:framePr w:wrap="around" w:vAnchor="text" w:hAnchor="margin" w:xAlign="center" w:y="1"/>
      <w:ind w:right="360"/>
      <w:rPr>
        <w:rStyle w:val="12"/>
      </w:rPr>
    </w:pPr>
  </w:p>
  <w:p>
    <w:pPr>
      <w:pStyle w:val="6"/>
      <w:tabs>
        <w:tab w:val="left" w:pos="5124"/>
        <w:tab w:val="clear" w:pos="4153"/>
        <w:tab w:val="clear" w:pos="8306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right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rPr>
        <w:rStyle w:val="12"/>
      </w:rPr>
      <w:t>2</w:t>
    </w:r>
    <w:r>
      <w:fldChar w:fldCharType="end"/>
    </w:r>
  </w:p>
  <w:p>
    <w:pPr>
      <w:pStyle w:val="6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395281"/>
    <w:multiLevelType w:val="singleLevel"/>
    <w:tmpl w:val="2C395281"/>
    <w:lvl w:ilvl="0" w:tentative="0">
      <w:start w:val="3"/>
      <w:numFmt w:val="chineseCounting"/>
      <w:suff w:val="space"/>
      <w:lvlText w:val="第%1部分"/>
      <w:lvlJc w:val="left"/>
      <w:rPr>
        <w:rFonts w:hint="eastAsia"/>
      </w:rPr>
    </w:lvl>
  </w:abstractNum>
  <w:abstractNum w:abstractNumId="1">
    <w:nsid w:val="3B32332D"/>
    <w:multiLevelType w:val="multilevel"/>
    <w:tmpl w:val="3B32332D"/>
    <w:lvl w:ilvl="0" w:tentative="0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5"/>
  <w:drawingGridHorizontalSpacing w:val="156"/>
  <w:drawingGridVerticalSpacing w:val="287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xZTIzY2M1OWQyMDdmM2JmMzZhMmE3ZDJlZDI2NTQifQ=="/>
  </w:docVars>
  <w:rsids>
    <w:rsidRoot w:val="00942D35"/>
    <w:rsid w:val="00000A45"/>
    <w:rsid w:val="00004B0E"/>
    <w:rsid w:val="0001328E"/>
    <w:rsid w:val="000153B7"/>
    <w:rsid w:val="00023B8A"/>
    <w:rsid w:val="00035379"/>
    <w:rsid w:val="00040BE9"/>
    <w:rsid w:val="000523D1"/>
    <w:rsid w:val="00052DFC"/>
    <w:rsid w:val="00053492"/>
    <w:rsid w:val="00055A06"/>
    <w:rsid w:val="00064101"/>
    <w:rsid w:val="00070418"/>
    <w:rsid w:val="00071E32"/>
    <w:rsid w:val="000B3850"/>
    <w:rsid w:val="000B51F6"/>
    <w:rsid w:val="000C5959"/>
    <w:rsid w:val="000C6CF3"/>
    <w:rsid w:val="000D057D"/>
    <w:rsid w:val="000D73ED"/>
    <w:rsid w:val="000E4C96"/>
    <w:rsid w:val="000E59AC"/>
    <w:rsid w:val="000E6C5E"/>
    <w:rsid w:val="000E7AD1"/>
    <w:rsid w:val="000F4550"/>
    <w:rsid w:val="00101943"/>
    <w:rsid w:val="001066CA"/>
    <w:rsid w:val="001173B1"/>
    <w:rsid w:val="001340D0"/>
    <w:rsid w:val="00134A59"/>
    <w:rsid w:val="00153057"/>
    <w:rsid w:val="00171458"/>
    <w:rsid w:val="00172A27"/>
    <w:rsid w:val="0018063D"/>
    <w:rsid w:val="001906EC"/>
    <w:rsid w:val="00190BAC"/>
    <w:rsid w:val="001940C0"/>
    <w:rsid w:val="001B10EB"/>
    <w:rsid w:val="001B1B9D"/>
    <w:rsid w:val="001C72DD"/>
    <w:rsid w:val="001D61CB"/>
    <w:rsid w:val="001E23A2"/>
    <w:rsid w:val="001F499C"/>
    <w:rsid w:val="0020129C"/>
    <w:rsid w:val="00201C1D"/>
    <w:rsid w:val="00202084"/>
    <w:rsid w:val="00211945"/>
    <w:rsid w:val="002148AC"/>
    <w:rsid w:val="002168BC"/>
    <w:rsid w:val="00223053"/>
    <w:rsid w:val="002272C7"/>
    <w:rsid w:val="002339D6"/>
    <w:rsid w:val="002435BA"/>
    <w:rsid w:val="002478B0"/>
    <w:rsid w:val="00254B43"/>
    <w:rsid w:val="00263000"/>
    <w:rsid w:val="00271ED3"/>
    <w:rsid w:val="0027222F"/>
    <w:rsid w:val="00273476"/>
    <w:rsid w:val="0027495E"/>
    <w:rsid w:val="00274B4D"/>
    <w:rsid w:val="00276F47"/>
    <w:rsid w:val="00277581"/>
    <w:rsid w:val="00277F89"/>
    <w:rsid w:val="00296767"/>
    <w:rsid w:val="00297AEB"/>
    <w:rsid w:val="002A1842"/>
    <w:rsid w:val="002A66AC"/>
    <w:rsid w:val="002A750C"/>
    <w:rsid w:val="002B238D"/>
    <w:rsid w:val="002B563A"/>
    <w:rsid w:val="002D2357"/>
    <w:rsid w:val="002D7D3F"/>
    <w:rsid w:val="002E0C3C"/>
    <w:rsid w:val="002E0F14"/>
    <w:rsid w:val="002E36BB"/>
    <w:rsid w:val="002F427D"/>
    <w:rsid w:val="002F4299"/>
    <w:rsid w:val="002F51F2"/>
    <w:rsid w:val="00301C47"/>
    <w:rsid w:val="00301DE8"/>
    <w:rsid w:val="00306FFA"/>
    <w:rsid w:val="00307FC7"/>
    <w:rsid w:val="00312AF7"/>
    <w:rsid w:val="003254F5"/>
    <w:rsid w:val="003274D1"/>
    <w:rsid w:val="00331BA3"/>
    <w:rsid w:val="00344DCA"/>
    <w:rsid w:val="003456BE"/>
    <w:rsid w:val="00347C5E"/>
    <w:rsid w:val="003573C6"/>
    <w:rsid w:val="003603FD"/>
    <w:rsid w:val="0036161D"/>
    <w:rsid w:val="00364069"/>
    <w:rsid w:val="00381CD5"/>
    <w:rsid w:val="00391CD4"/>
    <w:rsid w:val="00397118"/>
    <w:rsid w:val="003A70BA"/>
    <w:rsid w:val="003B5033"/>
    <w:rsid w:val="003B64B6"/>
    <w:rsid w:val="003B6889"/>
    <w:rsid w:val="003B7D9C"/>
    <w:rsid w:val="003C6659"/>
    <w:rsid w:val="003D295C"/>
    <w:rsid w:val="003D7A9E"/>
    <w:rsid w:val="003F0776"/>
    <w:rsid w:val="003F53AA"/>
    <w:rsid w:val="003F542B"/>
    <w:rsid w:val="00424548"/>
    <w:rsid w:val="00430D0E"/>
    <w:rsid w:val="00447805"/>
    <w:rsid w:val="0046304D"/>
    <w:rsid w:val="00467315"/>
    <w:rsid w:val="0047053B"/>
    <w:rsid w:val="004730DD"/>
    <w:rsid w:val="00495967"/>
    <w:rsid w:val="00495F3C"/>
    <w:rsid w:val="004A2AD5"/>
    <w:rsid w:val="004A67D0"/>
    <w:rsid w:val="004B2D70"/>
    <w:rsid w:val="004C1DDB"/>
    <w:rsid w:val="004D301D"/>
    <w:rsid w:val="004D7B0C"/>
    <w:rsid w:val="004F250D"/>
    <w:rsid w:val="004F7230"/>
    <w:rsid w:val="005100B5"/>
    <w:rsid w:val="005150F8"/>
    <w:rsid w:val="00540757"/>
    <w:rsid w:val="005414F9"/>
    <w:rsid w:val="005466FA"/>
    <w:rsid w:val="00546E63"/>
    <w:rsid w:val="00553E84"/>
    <w:rsid w:val="005563D3"/>
    <w:rsid w:val="00556BE5"/>
    <w:rsid w:val="00574A6D"/>
    <w:rsid w:val="00574E4C"/>
    <w:rsid w:val="00577D1F"/>
    <w:rsid w:val="0058656A"/>
    <w:rsid w:val="0058758F"/>
    <w:rsid w:val="0059150F"/>
    <w:rsid w:val="005946A1"/>
    <w:rsid w:val="00595A9B"/>
    <w:rsid w:val="005A1F81"/>
    <w:rsid w:val="005B43F5"/>
    <w:rsid w:val="005B60A8"/>
    <w:rsid w:val="005C1B49"/>
    <w:rsid w:val="005C54ED"/>
    <w:rsid w:val="005E5BB9"/>
    <w:rsid w:val="00603059"/>
    <w:rsid w:val="00604009"/>
    <w:rsid w:val="00616258"/>
    <w:rsid w:val="00620BB4"/>
    <w:rsid w:val="0063534D"/>
    <w:rsid w:val="00635490"/>
    <w:rsid w:val="00641F1E"/>
    <w:rsid w:val="00676CB0"/>
    <w:rsid w:val="00680212"/>
    <w:rsid w:val="00682CB0"/>
    <w:rsid w:val="006834A4"/>
    <w:rsid w:val="0069559A"/>
    <w:rsid w:val="00695641"/>
    <w:rsid w:val="006A12E7"/>
    <w:rsid w:val="006A33C1"/>
    <w:rsid w:val="006A463E"/>
    <w:rsid w:val="006B6946"/>
    <w:rsid w:val="006C4331"/>
    <w:rsid w:val="006D1D9E"/>
    <w:rsid w:val="006E65CF"/>
    <w:rsid w:val="006E6CC6"/>
    <w:rsid w:val="0071234C"/>
    <w:rsid w:val="00714C06"/>
    <w:rsid w:val="00726B30"/>
    <w:rsid w:val="00726D6E"/>
    <w:rsid w:val="00727251"/>
    <w:rsid w:val="00731CBC"/>
    <w:rsid w:val="00742267"/>
    <w:rsid w:val="00777A8E"/>
    <w:rsid w:val="00786000"/>
    <w:rsid w:val="00792046"/>
    <w:rsid w:val="00793801"/>
    <w:rsid w:val="00796446"/>
    <w:rsid w:val="007970F8"/>
    <w:rsid w:val="007A5F3F"/>
    <w:rsid w:val="007B2139"/>
    <w:rsid w:val="007C5BCF"/>
    <w:rsid w:val="007D2B47"/>
    <w:rsid w:val="007E1F0F"/>
    <w:rsid w:val="007F19B1"/>
    <w:rsid w:val="007F2865"/>
    <w:rsid w:val="00800B8C"/>
    <w:rsid w:val="00806587"/>
    <w:rsid w:val="0081310C"/>
    <w:rsid w:val="00813427"/>
    <w:rsid w:val="0082043E"/>
    <w:rsid w:val="00821F29"/>
    <w:rsid w:val="00836148"/>
    <w:rsid w:val="00840837"/>
    <w:rsid w:val="00850D68"/>
    <w:rsid w:val="008539A8"/>
    <w:rsid w:val="0086333E"/>
    <w:rsid w:val="008655C3"/>
    <w:rsid w:val="00866082"/>
    <w:rsid w:val="008711E9"/>
    <w:rsid w:val="008820A8"/>
    <w:rsid w:val="008834C0"/>
    <w:rsid w:val="00890896"/>
    <w:rsid w:val="008A74CD"/>
    <w:rsid w:val="008C08BB"/>
    <w:rsid w:val="00902707"/>
    <w:rsid w:val="009051DE"/>
    <w:rsid w:val="0091688F"/>
    <w:rsid w:val="00923E1C"/>
    <w:rsid w:val="00925E8A"/>
    <w:rsid w:val="00927443"/>
    <w:rsid w:val="00934656"/>
    <w:rsid w:val="00941E4F"/>
    <w:rsid w:val="009424A9"/>
    <w:rsid w:val="00942D35"/>
    <w:rsid w:val="0095392C"/>
    <w:rsid w:val="009544D1"/>
    <w:rsid w:val="00961633"/>
    <w:rsid w:val="0096396B"/>
    <w:rsid w:val="009641FB"/>
    <w:rsid w:val="009719BB"/>
    <w:rsid w:val="00975424"/>
    <w:rsid w:val="0098663A"/>
    <w:rsid w:val="00991CD1"/>
    <w:rsid w:val="00992563"/>
    <w:rsid w:val="00995C5D"/>
    <w:rsid w:val="009A1D0F"/>
    <w:rsid w:val="009A27FE"/>
    <w:rsid w:val="009A2F50"/>
    <w:rsid w:val="009A7199"/>
    <w:rsid w:val="009D76D2"/>
    <w:rsid w:val="009E1C84"/>
    <w:rsid w:val="009E4F28"/>
    <w:rsid w:val="009F0474"/>
    <w:rsid w:val="00A10869"/>
    <w:rsid w:val="00A12175"/>
    <w:rsid w:val="00A15A89"/>
    <w:rsid w:val="00A17181"/>
    <w:rsid w:val="00A27D61"/>
    <w:rsid w:val="00A3116C"/>
    <w:rsid w:val="00A343F3"/>
    <w:rsid w:val="00A360D8"/>
    <w:rsid w:val="00A419E5"/>
    <w:rsid w:val="00A468C8"/>
    <w:rsid w:val="00A46BE9"/>
    <w:rsid w:val="00A50E7D"/>
    <w:rsid w:val="00A5577D"/>
    <w:rsid w:val="00A56D48"/>
    <w:rsid w:val="00A576CD"/>
    <w:rsid w:val="00A625D0"/>
    <w:rsid w:val="00A63811"/>
    <w:rsid w:val="00A662A9"/>
    <w:rsid w:val="00A738B9"/>
    <w:rsid w:val="00A941CF"/>
    <w:rsid w:val="00A94CC2"/>
    <w:rsid w:val="00AA16E6"/>
    <w:rsid w:val="00AA3073"/>
    <w:rsid w:val="00AA70D0"/>
    <w:rsid w:val="00AB7ACD"/>
    <w:rsid w:val="00AC011E"/>
    <w:rsid w:val="00AC1B21"/>
    <w:rsid w:val="00AC3237"/>
    <w:rsid w:val="00AD0E20"/>
    <w:rsid w:val="00AD2BA1"/>
    <w:rsid w:val="00AE0EAA"/>
    <w:rsid w:val="00AE6B42"/>
    <w:rsid w:val="00AF22F1"/>
    <w:rsid w:val="00AF2500"/>
    <w:rsid w:val="00B017E2"/>
    <w:rsid w:val="00B01D63"/>
    <w:rsid w:val="00B0760E"/>
    <w:rsid w:val="00B17C29"/>
    <w:rsid w:val="00B20FCD"/>
    <w:rsid w:val="00B2202F"/>
    <w:rsid w:val="00B31612"/>
    <w:rsid w:val="00B32DFF"/>
    <w:rsid w:val="00B33B96"/>
    <w:rsid w:val="00B40E96"/>
    <w:rsid w:val="00B55106"/>
    <w:rsid w:val="00B657F6"/>
    <w:rsid w:val="00B74B37"/>
    <w:rsid w:val="00B87A41"/>
    <w:rsid w:val="00B87E1A"/>
    <w:rsid w:val="00B900F8"/>
    <w:rsid w:val="00BA5AAD"/>
    <w:rsid w:val="00BA63A8"/>
    <w:rsid w:val="00BB46AB"/>
    <w:rsid w:val="00BB659C"/>
    <w:rsid w:val="00BB760D"/>
    <w:rsid w:val="00BB78E4"/>
    <w:rsid w:val="00BD100C"/>
    <w:rsid w:val="00BD47A0"/>
    <w:rsid w:val="00BE6BA9"/>
    <w:rsid w:val="00BF4325"/>
    <w:rsid w:val="00C0524E"/>
    <w:rsid w:val="00C076DA"/>
    <w:rsid w:val="00C155DA"/>
    <w:rsid w:val="00C15916"/>
    <w:rsid w:val="00C1659A"/>
    <w:rsid w:val="00C25231"/>
    <w:rsid w:val="00C51F74"/>
    <w:rsid w:val="00C653C6"/>
    <w:rsid w:val="00C769BD"/>
    <w:rsid w:val="00C810F2"/>
    <w:rsid w:val="00C92A7C"/>
    <w:rsid w:val="00C92C37"/>
    <w:rsid w:val="00CA6600"/>
    <w:rsid w:val="00CA7B1F"/>
    <w:rsid w:val="00CB7CD4"/>
    <w:rsid w:val="00CB7DAB"/>
    <w:rsid w:val="00CC23E6"/>
    <w:rsid w:val="00CC2DF6"/>
    <w:rsid w:val="00CC65FE"/>
    <w:rsid w:val="00CC6E06"/>
    <w:rsid w:val="00CC7DA9"/>
    <w:rsid w:val="00CE237D"/>
    <w:rsid w:val="00CF5CCB"/>
    <w:rsid w:val="00CF6C9B"/>
    <w:rsid w:val="00D0595B"/>
    <w:rsid w:val="00D06429"/>
    <w:rsid w:val="00D22320"/>
    <w:rsid w:val="00D23830"/>
    <w:rsid w:val="00D23F73"/>
    <w:rsid w:val="00D3135A"/>
    <w:rsid w:val="00D32D17"/>
    <w:rsid w:val="00D42A61"/>
    <w:rsid w:val="00D4568F"/>
    <w:rsid w:val="00D46236"/>
    <w:rsid w:val="00D54339"/>
    <w:rsid w:val="00D618BF"/>
    <w:rsid w:val="00D721BA"/>
    <w:rsid w:val="00D83249"/>
    <w:rsid w:val="00D863D9"/>
    <w:rsid w:val="00D911D5"/>
    <w:rsid w:val="00D932C1"/>
    <w:rsid w:val="00DA0C5E"/>
    <w:rsid w:val="00DA31C9"/>
    <w:rsid w:val="00DA5427"/>
    <w:rsid w:val="00DB4293"/>
    <w:rsid w:val="00DC4C1D"/>
    <w:rsid w:val="00DC77B0"/>
    <w:rsid w:val="00DD0B60"/>
    <w:rsid w:val="00DD6268"/>
    <w:rsid w:val="00DF1A5D"/>
    <w:rsid w:val="00E0102F"/>
    <w:rsid w:val="00E06DE8"/>
    <w:rsid w:val="00E159F5"/>
    <w:rsid w:val="00E173AE"/>
    <w:rsid w:val="00E30D4E"/>
    <w:rsid w:val="00E31579"/>
    <w:rsid w:val="00E32D39"/>
    <w:rsid w:val="00E32F92"/>
    <w:rsid w:val="00E42F8C"/>
    <w:rsid w:val="00E52E0F"/>
    <w:rsid w:val="00E53074"/>
    <w:rsid w:val="00E6316A"/>
    <w:rsid w:val="00E66B4C"/>
    <w:rsid w:val="00E75C06"/>
    <w:rsid w:val="00E81EF8"/>
    <w:rsid w:val="00E825A1"/>
    <w:rsid w:val="00E97C9D"/>
    <w:rsid w:val="00EA21D4"/>
    <w:rsid w:val="00EB6E96"/>
    <w:rsid w:val="00EC60EC"/>
    <w:rsid w:val="00EC7E5F"/>
    <w:rsid w:val="00EF31F2"/>
    <w:rsid w:val="00EF7C86"/>
    <w:rsid w:val="00F02DC0"/>
    <w:rsid w:val="00F047C7"/>
    <w:rsid w:val="00F05C8C"/>
    <w:rsid w:val="00F07A78"/>
    <w:rsid w:val="00F11021"/>
    <w:rsid w:val="00F432CA"/>
    <w:rsid w:val="00F448D2"/>
    <w:rsid w:val="00F4507C"/>
    <w:rsid w:val="00F4689E"/>
    <w:rsid w:val="00F533E0"/>
    <w:rsid w:val="00F56FDE"/>
    <w:rsid w:val="00F5708C"/>
    <w:rsid w:val="00F57AB7"/>
    <w:rsid w:val="00F671DF"/>
    <w:rsid w:val="00F67C81"/>
    <w:rsid w:val="00F7361D"/>
    <w:rsid w:val="00F877E9"/>
    <w:rsid w:val="00F9170E"/>
    <w:rsid w:val="00F96349"/>
    <w:rsid w:val="00F976A2"/>
    <w:rsid w:val="00FA4F83"/>
    <w:rsid w:val="00FA5297"/>
    <w:rsid w:val="00FA587F"/>
    <w:rsid w:val="00FB6BA3"/>
    <w:rsid w:val="00FC2B99"/>
    <w:rsid w:val="00FC3D2E"/>
    <w:rsid w:val="00FC51B5"/>
    <w:rsid w:val="00FE5B5F"/>
    <w:rsid w:val="00FF6811"/>
    <w:rsid w:val="032F4898"/>
    <w:rsid w:val="08B576D2"/>
    <w:rsid w:val="0A613944"/>
    <w:rsid w:val="0F4672D5"/>
    <w:rsid w:val="10525806"/>
    <w:rsid w:val="10C81F6C"/>
    <w:rsid w:val="1235718D"/>
    <w:rsid w:val="12FB4978"/>
    <w:rsid w:val="18E53D9D"/>
    <w:rsid w:val="1AC47549"/>
    <w:rsid w:val="1F8507F5"/>
    <w:rsid w:val="20582DCE"/>
    <w:rsid w:val="279B763B"/>
    <w:rsid w:val="29574E0F"/>
    <w:rsid w:val="2E207253"/>
    <w:rsid w:val="30B33C47"/>
    <w:rsid w:val="3E686071"/>
    <w:rsid w:val="50E772C9"/>
    <w:rsid w:val="52AD5B3E"/>
    <w:rsid w:val="555869E7"/>
    <w:rsid w:val="64B21544"/>
    <w:rsid w:val="6796514D"/>
    <w:rsid w:val="6B685053"/>
    <w:rsid w:val="6B741C4A"/>
    <w:rsid w:val="6CB34986"/>
    <w:rsid w:val="6DB273C9"/>
    <w:rsid w:val="6FC34F0A"/>
    <w:rsid w:val="703349F7"/>
    <w:rsid w:val="755545C6"/>
    <w:rsid w:val="76816FC9"/>
    <w:rsid w:val="77015847"/>
    <w:rsid w:val="7D54367E"/>
    <w:rsid w:val="7FD5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tabs>
        <w:tab w:val="left" w:pos="8372"/>
      </w:tabs>
      <w:spacing w:line="540" w:lineRule="exact"/>
      <w:ind w:firstLine="630"/>
    </w:pPr>
    <w:rPr>
      <w:rFonts w:eastAsia="黑体"/>
    </w:rPr>
  </w:style>
  <w:style w:type="paragraph" w:styleId="3">
    <w:name w:val="Date"/>
    <w:basedOn w:val="1"/>
    <w:next w:val="1"/>
    <w:qFormat/>
    <w:uiPriority w:val="0"/>
  </w:style>
  <w:style w:type="paragraph" w:styleId="4">
    <w:name w:val="Body Text Indent 2"/>
    <w:basedOn w:val="1"/>
    <w:qFormat/>
    <w:uiPriority w:val="0"/>
    <w:pPr>
      <w:tabs>
        <w:tab w:val="left" w:pos="8372"/>
      </w:tabs>
      <w:spacing w:line="540" w:lineRule="exact"/>
      <w:ind w:firstLine="630"/>
    </w:pPr>
    <w:rPr>
      <w:b/>
      <w:bCs/>
    </w:rPr>
  </w:style>
  <w:style w:type="paragraph" w:styleId="5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paragraph" w:customStyle="1" w:styleId="13">
    <w:name w:val="正文文本 21"/>
    <w:basedOn w:val="1"/>
    <w:qFormat/>
    <w:uiPriority w:val="0"/>
    <w:pPr>
      <w:adjustRightInd w:val="0"/>
      <w:ind w:firstLine="630"/>
      <w:jc w:val="left"/>
      <w:textAlignment w:val="baseline"/>
    </w:pPr>
    <w:rPr>
      <w:rFonts w:eastAsia="黑体"/>
    </w:rPr>
  </w:style>
  <w:style w:type="paragraph" w:customStyle="1" w:styleId="14">
    <w:name w:val="Char"/>
    <w:basedOn w:val="1"/>
    <w:uiPriority w:val="0"/>
    <w:rPr>
      <w:rFonts w:eastAsia="宋体"/>
      <w:sz w:val="21"/>
      <w:szCs w:val="21"/>
    </w:rPr>
  </w:style>
  <w:style w:type="character" w:customStyle="1" w:styleId="15">
    <w:name w:val="批注框文本 Char"/>
    <w:link w:val="5"/>
    <w:semiHidden/>
    <w:qFormat/>
    <w:uiPriority w:val="99"/>
    <w:rPr>
      <w:rFonts w:eastAsia="仿宋_GB2312"/>
      <w:kern w:val="2"/>
      <w:sz w:val="18"/>
      <w:szCs w:val="18"/>
    </w:rPr>
  </w:style>
  <w:style w:type="paragraph" w:customStyle="1" w:styleId="16">
    <w:name w:val="p0"/>
    <w:basedOn w:val="1"/>
    <w:qFormat/>
    <w:uiPriority w:val="0"/>
    <w:pPr>
      <w:widowControl/>
    </w:pPr>
    <w:rPr>
      <w:rFonts w:eastAsia="宋体"/>
      <w:kern w:val="0"/>
      <w:szCs w:val="32"/>
    </w:rPr>
  </w:style>
  <w:style w:type="character" w:customStyle="1" w:styleId="17">
    <w:name w:val="页脚 Char"/>
    <w:link w:val="6"/>
    <w:uiPriority w:val="99"/>
    <w:rPr>
      <w:rFonts w:eastAsia="仿宋_GB2312"/>
      <w:kern w:val="2"/>
      <w:sz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微软用户</Company>
  <Pages>5</Pages>
  <Words>1578</Words>
  <Characters>1627</Characters>
  <Lines>12</Lines>
  <Paragraphs>3</Paragraphs>
  <TotalTime>6</TotalTime>
  <ScaleCrop>false</ScaleCrop>
  <LinksUpToDate>false</LinksUpToDate>
  <CharactersWithSpaces>1708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2022-09-08T02:06:00Z</dcterms:created>
  <dc:creator>微软中国</dc:creator>
  <cp:lastModifiedBy>Administrator</cp:lastModifiedBy>
  <cp:lastPrinted>2018-04-09T07:25:00Z</cp:lastPrinted>
  <dcterms:modified xsi:type="dcterms:W3CDTF">2022-09-22T07:22:58Z</dcterms:modified>
  <dc:title>主  持  词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21B18771DE6A47638823F3C9D880DB46</vt:lpwstr>
  </property>
</Properties>
</file>