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5C3A3">
      <w:pPr>
        <w:spacing w:before="480" w:after="480" w:line="288" w:lineRule="auto"/>
        <w:ind w:left="0"/>
        <w:jc w:val="center"/>
      </w:pPr>
      <w:r>
        <w:rPr>
          <w:rFonts w:ascii="Arial" w:hAnsi="Arial" w:eastAsia="等线" w:cs="Arial"/>
          <w:b/>
          <w:sz w:val="52"/>
        </w:rPr>
        <w:t>民族宗教局综合行政执法制度</w:t>
      </w:r>
    </w:p>
    <w:p w14:paraId="5BBBFEF5">
      <w:pPr>
        <w:spacing w:before="320" w:after="120" w:line="288" w:lineRule="auto"/>
        <w:ind w:left="0"/>
        <w:jc w:val="center"/>
        <w:outlineLvl w:val="1"/>
      </w:pPr>
      <w:bookmarkStart w:id="0" w:name="heading_0"/>
      <w:r>
        <w:rPr>
          <w:rFonts w:ascii="Arial" w:hAnsi="Arial" w:eastAsia="等线" w:cs="Arial"/>
          <w:b/>
          <w:sz w:val="32"/>
        </w:rPr>
        <w:t>第一章 总则</w:t>
      </w:r>
      <w:bookmarkEnd w:id="0"/>
    </w:p>
    <w:p w14:paraId="57D1725C">
      <w:pPr>
        <w:spacing w:before="300" w:after="120" w:line="288" w:lineRule="auto"/>
        <w:ind w:left="0"/>
        <w:jc w:val="left"/>
        <w:outlineLvl w:val="2"/>
      </w:pPr>
      <w:bookmarkStart w:id="1" w:name="heading_1"/>
      <w:r>
        <w:rPr>
          <w:rFonts w:ascii="Arial" w:hAnsi="Arial" w:eastAsia="等线" w:cs="Arial"/>
          <w:b/>
          <w:sz w:val="30"/>
        </w:rPr>
        <w:t>第一条 制定目的</w:t>
      </w:r>
      <w:bookmarkEnd w:id="1"/>
    </w:p>
    <w:p w14:paraId="5A2BE761">
      <w:pPr>
        <w:spacing w:before="120" w:after="120" w:line="288" w:lineRule="auto"/>
        <w:ind w:left="0"/>
        <w:jc w:val="left"/>
      </w:pPr>
      <w:r>
        <w:rPr>
          <w:rFonts w:ascii="Arial" w:hAnsi="Arial" w:eastAsia="等线" w:cs="Arial"/>
          <w:sz w:val="22"/>
        </w:rPr>
        <w:t>为深入贯彻落实全面依法治国要求，提高民族宗教工作法治化水平，规范综合行政执法行为，整合执法资源，提升执法效能，保障公民、法人和其他组织的合法权益，维护民族和睦与社会和谐，根据《中华人民共和国行政处罚法》《宗教事务条例》《民族区域自治法》《行政执法三项制度》等法律法规及相关规定，结合民族宗教行政执法工作实际，制定本制度。</w:t>
      </w:r>
    </w:p>
    <w:p w14:paraId="1CA6C565">
      <w:pPr>
        <w:spacing w:before="300" w:after="120" w:line="288" w:lineRule="auto"/>
        <w:ind w:left="0"/>
        <w:jc w:val="left"/>
        <w:outlineLvl w:val="2"/>
      </w:pPr>
      <w:bookmarkStart w:id="2" w:name="heading_2"/>
      <w:r>
        <w:rPr>
          <w:rFonts w:ascii="Arial" w:hAnsi="Arial" w:eastAsia="等线" w:cs="Arial"/>
          <w:b/>
          <w:sz w:val="30"/>
        </w:rPr>
        <w:t>第二条 核心原则</w:t>
      </w:r>
      <w:bookmarkEnd w:id="2"/>
    </w:p>
    <w:p w14:paraId="7593ACAB">
      <w:pPr>
        <w:numPr>
          <w:ilvl w:val="0"/>
          <w:numId w:val="1"/>
        </w:numPr>
        <w:spacing w:before="120" w:after="120" w:line="288" w:lineRule="auto"/>
        <w:ind w:left="0"/>
        <w:jc w:val="left"/>
      </w:pPr>
      <w:r>
        <w:rPr>
          <w:rFonts w:ascii="Arial" w:hAnsi="Arial" w:eastAsia="等线" w:cs="Arial"/>
          <w:sz w:val="22"/>
        </w:rPr>
        <w:t>坚持党的领导原则：把党的领导贯穿综合行政执法全过程，确保执法工作正确政治方向，服务民族宗教领域和谐稳定大局。</w:t>
      </w:r>
    </w:p>
    <w:p w14:paraId="5A854B8B">
      <w:pPr>
        <w:numPr>
          <w:ilvl w:val="0"/>
          <w:numId w:val="2"/>
        </w:numPr>
        <w:spacing w:before="120" w:after="120" w:line="288" w:lineRule="auto"/>
        <w:ind w:left="0"/>
        <w:jc w:val="left"/>
      </w:pPr>
      <w:r>
        <w:rPr>
          <w:rFonts w:ascii="Arial" w:hAnsi="Arial" w:eastAsia="等线" w:cs="Arial"/>
          <w:sz w:val="22"/>
        </w:rPr>
        <w:t>依法执法原则：严格依照法定权限、程序和标准开展执法活动，做到法定职责必须为、法无授权不可为，坚决杜绝越权执法、随意执法。</w:t>
      </w:r>
    </w:p>
    <w:p w14:paraId="4EAD8281">
      <w:pPr>
        <w:numPr>
          <w:ilvl w:val="0"/>
          <w:numId w:val="3"/>
        </w:numPr>
        <w:spacing w:before="120" w:after="120" w:line="288" w:lineRule="auto"/>
        <w:ind w:left="0"/>
        <w:jc w:val="left"/>
      </w:pPr>
      <w:r>
        <w:rPr>
          <w:rFonts w:ascii="Arial" w:hAnsi="Arial" w:eastAsia="等线" w:cs="Arial"/>
          <w:sz w:val="22"/>
        </w:rPr>
        <w:t>保护合法、制止非法、遏制极端、抵御渗透、打击犯罪原则：准确区分不同性质的宗教事务和民族事务，精准施策，既维护合法权益，又坚决防范化解领域风险。</w:t>
      </w:r>
    </w:p>
    <w:p w14:paraId="45641A5C">
      <w:pPr>
        <w:numPr>
          <w:ilvl w:val="0"/>
          <w:numId w:val="4"/>
        </w:numPr>
        <w:spacing w:before="120" w:after="120" w:line="288" w:lineRule="auto"/>
        <w:ind w:left="0"/>
        <w:jc w:val="left"/>
      </w:pPr>
      <w:r>
        <w:rPr>
          <w:rFonts w:ascii="Arial" w:hAnsi="Arial" w:eastAsia="等线" w:cs="Arial"/>
          <w:sz w:val="22"/>
        </w:rPr>
        <w:t>公正文明原则：坚持以事实为依据、以法律为准绳，平等对待执法对象，注重说服教育、劝导示范，做到法理相融、宽严相济。</w:t>
      </w:r>
    </w:p>
    <w:p w14:paraId="16867EDC">
      <w:pPr>
        <w:numPr>
          <w:ilvl w:val="0"/>
          <w:numId w:val="5"/>
        </w:numPr>
        <w:spacing w:before="120" w:after="120" w:line="288" w:lineRule="auto"/>
        <w:ind w:left="0"/>
        <w:jc w:val="left"/>
      </w:pPr>
      <w:r>
        <w:rPr>
          <w:rFonts w:ascii="Arial" w:hAnsi="Arial" w:eastAsia="等线" w:cs="Arial"/>
          <w:sz w:val="22"/>
        </w:rPr>
        <w:t>综合协同原则：整合内部执法职能，加强与相关部门协同配合，构建权责清晰、协同高效的综合执法体系。</w:t>
      </w:r>
    </w:p>
    <w:p w14:paraId="26D18737">
      <w:pPr>
        <w:spacing w:before="300" w:after="120" w:line="288" w:lineRule="auto"/>
        <w:ind w:left="0"/>
        <w:jc w:val="left"/>
        <w:outlineLvl w:val="2"/>
      </w:pPr>
      <w:bookmarkStart w:id="3" w:name="heading_3"/>
      <w:r>
        <w:rPr>
          <w:rFonts w:ascii="Arial" w:hAnsi="Arial" w:eastAsia="等线" w:cs="Arial"/>
          <w:b/>
          <w:sz w:val="30"/>
        </w:rPr>
        <w:t>第三条 适用范围</w:t>
      </w:r>
      <w:bookmarkEnd w:id="3"/>
    </w:p>
    <w:p w14:paraId="27CD549D">
      <w:pPr>
        <w:spacing w:before="120" w:after="120" w:line="288" w:lineRule="auto"/>
        <w:ind w:left="0"/>
        <w:jc w:val="left"/>
      </w:pPr>
      <w:r>
        <w:rPr>
          <w:rFonts w:ascii="Arial" w:hAnsi="Arial" w:eastAsia="等线" w:cs="Arial"/>
          <w:sz w:val="22"/>
        </w:rPr>
        <w:t>本制度适用于各级民族宗教事务部门（以下简称“民宗部门”）实施的综合行政执法活动，涵盖行政处罚、行政检查、行政强制、行政许可等执法行为。参与民族宗教综合行政执法的受委托组织、执法人员及相关工作人员，均应遵守本制度。</w:t>
      </w:r>
    </w:p>
    <w:p w14:paraId="507319F3">
      <w:pPr>
        <w:spacing w:before="300" w:after="120" w:line="288" w:lineRule="auto"/>
        <w:ind w:left="0"/>
        <w:jc w:val="left"/>
        <w:outlineLvl w:val="2"/>
      </w:pPr>
      <w:bookmarkStart w:id="4" w:name="heading_4"/>
      <w:r>
        <w:rPr>
          <w:rFonts w:ascii="Arial" w:hAnsi="Arial" w:eastAsia="等线" w:cs="Arial"/>
          <w:b/>
          <w:sz w:val="30"/>
        </w:rPr>
        <w:t>第四条 执法依据</w:t>
      </w:r>
      <w:bookmarkEnd w:id="4"/>
    </w:p>
    <w:p w14:paraId="03D08CC1">
      <w:pPr>
        <w:spacing w:before="120" w:after="120" w:line="288" w:lineRule="auto"/>
        <w:ind w:left="0"/>
        <w:jc w:val="left"/>
      </w:pPr>
      <w:r>
        <w:rPr>
          <w:rFonts w:ascii="Arial" w:hAnsi="Arial" w:eastAsia="等线" w:cs="Arial"/>
          <w:sz w:val="22"/>
        </w:rPr>
        <w:t>执法工作主要依据《中华人民共和国宪法》《中华人民共和国民族区域自治法》《中华人民共和国行政处罚法》《中华人民共和国行政许可法》《中华人民共和国行政强制法》《宗教事务条例》《民族乡行政工作条例》等法律法规，以及相关部门规章、地方性法规和规范性文件。</w:t>
      </w:r>
    </w:p>
    <w:p w14:paraId="0E90DCB4">
      <w:pPr>
        <w:spacing w:before="320" w:after="120" w:line="288" w:lineRule="auto"/>
        <w:ind w:left="0"/>
        <w:jc w:val="center"/>
        <w:outlineLvl w:val="1"/>
      </w:pPr>
      <w:bookmarkStart w:id="5" w:name="heading_5"/>
      <w:r>
        <w:rPr>
          <w:rFonts w:ascii="Arial" w:hAnsi="Arial" w:eastAsia="等线" w:cs="Arial"/>
          <w:b/>
          <w:sz w:val="32"/>
        </w:rPr>
        <w:t>第二章 执法主体与职责</w:t>
      </w:r>
      <w:bookmarkEnd w:id="5"/>
    </w:p>
    <w:p w14:paraId="124E28BE">
      <w:pPr>
        <w:spacing w:before="300" w:after="120" w:line="288" w:lineRule="auto"/>
        <w:ind w:left="0"/>
        <w:jc w:val="left"/>
        <w:outlineLvl w:val="2"/>
      </w:pPr>
      <w:bookmarkStart w:id="6" w:name="heading_6"/>
      <w:r>
        <w:rPr>
          <w:rFonts w:ascii="Arial" w:hAnsi="Arial" w:eastAsia="等线" w:cs="Arial"/>
          <w:b/>
          <w:sz w:val="30"/>
        </w:rPr>
        <w:t>第五条 执法主体</w:t>
      </w:r>
      <w:bookmarkEnd w:id="6"/>
    </w:p>
    <w:p w14:paraId="52D2551E">
      <w:pPr>
        <w:spacing w:before="120" w:after="120" w:line="288" w:lineRule="auto"/>
        <w:ind w:left="0"/>
        <w:jc w:val="left"/>
      </w:pPr>
      <w:r>
        <w:rPr>
          <w:rFonts w:ascii="Arial" w:hAnsi="Arial" w:eastAsia="等线" w:cs="Arial"/>
          <w:sz w:val="22"/>
        </w:rPr>
        <w:t>各级民宗部门是民族宗教综合行政执法的主体，依法在本行政区域内开展执法工作。经依法委托的执法组织，在委托权限和范围内实施执法行为，法律后果由委托的民宗部门承担。执法主体资格应当向社会公示。</w:t>
      </w:r>
    </w:p>
    <w:p w14:paraId="7FA7740A">
      <w:pPr>
        <w:spacing w:before="300" w:after="120" w:line="288" w:lineRule="auto"/>
        <w:ind w:left="0"/>
        <w:jc w:val="left"/>
        <w:outlineLvl w:val="2"/>
      </w:pPr>
      <w:bookmarkStart w:id="7" w:name="heading_7"/>
      <w:r>
        <w:rPr>
          <w:rFonts w:ascii="Arial" w:hAnsi="Arial" w:eastAsia="等线" w:cs="Arial"/>
          <w:b/>
          <w:sz w:val="30"/>
        </w:rPr>
        <w:t>第六条 执法职责</w:t>
      </w:r>
      <w:bookmarkEnd w:id="7"/>
    </w:p>
    <w:p w14:paraId="35CE8144">
      <w:pPr>
        <w:numPr>
          <w:ilvl w:val="0"/>
          <w:numId w:val="6"/>
        </w:numPr>
        <w:spacing w:before="120" w:after="120" w:line="288" w:lineRule="auto"/>
        <w:ind w:left="0"/>
        <w:jc w:val="left"/>
      </w:pPr>
      <w:r>
        <w:rPr>
          <w:rFonts w:ascii="Arial" w:hAnsi="Arial" w:eastAsia="等线" w:cs="Arial"/>
          <w:sz w:val="22"/>
        </w:rPr>
        <w:t>贯彻执行民族宗教领域法律法规和政策，组织开展执法宣传教育和培训。</w:t>
      </w:r>
    </w:p>
    <w:p w14:paraId="29771EA1">
      <w:pPr>
        <w:numPr>
          <w:ilvl w:val="0"/>
          <w:numId w:val="7"/>
        </w:numPr>
        <w:spacing w:before="120" w:after="120" w:line="288" w:lineRule="auto"/>
        <w:ind w:left="0"/>
        <w:jc w:val="left"/>
      </w:pPr>
      <w:r>
        <w:rPr>
          <w:rFonts w:ascii="Arial" w:hAnsi="Arial" w:eastAsia="等线" w:cs="Arial"/>
          <w:sz w:val="22"/>
        </w:rPr>
        <w:t>依法实施行政许可，包括宗教活动场所设立、变更、注销审批，宗教教职人员备案，宗教团体成立、变更、注销审查等事项。</w:t>
      </w:r>
    </w:p>
    <w:p w14:paraId="2076329E">
      <w:pPr>
        <w:numPr>
          <w:ilvl w:val="0"/>
          <w:numId w:val="8"/>
        </w:numPr>
        <w:spacing w:before="120" w:after="120" w:line="288" w:lineRule="auto"/>
        <w:ind w:left="0"/>
        <w:jc w:val="left"/>
      </w:pPr>
      <w:r>
        <w:rPr>
          <w:rFonts w:ascii="Arial" w:hAnsi="Arial" w:eastAsia="等线" w:cs="Arial"/>
          <w:sz w:val="22"/>
        </w:rPr>
        <w:t>开展日常行政检查，对宗教活动场所、宗教团体、宗教院校、宗教教职人员及其他涉及民族宗教事务的单位和个人的活动进行监督检查。</w:t>
      </w:r>
    </w:p>
    <w:p w14:paraId="28354034">
      <w:pPr>
        <w:numPr>
          <w:ilvl w:val="0"/>
          <w:numId w:val="9"/>
        </w:numPr>
        <w:spacing w:before="120" w:after="120" w:line="288" w:lineRule="auto"/>
        <w:ind w:left="0"/>
        <w:jc w:val="left"/>
      </w:pPr>
      <w:r>
        <w:rPr>
          <w:rFonts w:ascii="Arial" w:hAnsi="Arial" w:eastAsia="等线" w:cs="Arial"/>
          <w:sz w:val="22"/>
        </w:rPr>
        <w:t>依法查处违反民族宗教法律法规的行为，实施行政处罚。</w:t>
      </w:r>
    </w:p>
    <w:p w14:paraId="5FD1249E">
      <w:pPr>
        <w:numPr>
          <w:ilvl w:val="0"/>
          <w:numId w:val="10"/>
        </w:numPr>
        <w:spacing w:before="120" w:after="120" w:line="288" w:lineRule="auto"/>
        <w:ind w:left="0"/>
        <w:jc w:val="left"/>
      </w:pPr>
      <w:r>
        <w:rPr>
          <w:rFonts w:ascii="Arial" w:hAnsi="Arial" w:eastAsia="等线" w:cs="Arial"/>
          <w:sz w:val="22"/>
        </w:rPr>
        <w:t>在法定权限内实施行政强制，规范行政强制措施和行政强制执行程序。</w:t>
      </w:r>
    </w:p>
    <w:p w14:paraId="1B3237CB">
      <w:pPr>
        <w:numPr>
          <w:ilvl w:val="0"/>
          <w:numId w:val="11"/>
        </w:numPr>
        <w:spacing w:before="120" w:after="120" w:line="288" w:lineRule="auto"/>
        <w:ind w:left="0"/>
        <w:jc w:val="left"/>
      </w:pPr>
      <w:r>
        <w:rPr>
          <w:rFonts w:ascii="Arial" w:hAnsi="Arial" w:eastAsia="等线" w:cs="Arial"/>
          <w:sz w:val="22"/>
        </w:rPr>
        <w:t>建立执法协作机制，加强与公安、市场监管、应急管理、自然资源等部门的沟通协作，联合处置复杂执法事项。</w:t>
      </w:r>
    </w:p>
    <w:p w14:paraId="421B93F9">
      <w:pPr>
        <w:numPr>
          <w:ilvl w:val="0"/>
          <w:numId w:val="12"/>
        </w:numPr>
        <w:spacing w:before="120" w:after="120" w:line="288" w:lineRule="auto"/>
        <w:ind w:left="0"/>
        <w:jc w:val="left"/>
      </w:pPr>
      <w:r>
        <w:rPr>
          <w:rFonts w:ascii="Arial" w:hAnsi="Arial" w:eastAsia="等线" w:cs="Arial"/>
          <w:sz w:val="22"/>
        </w:rPr>
        <w:t>负责执法案卷的制作、整理、归档和管理，推进执法信息化建设。</w:t>
      </w:r>
    </w:p>
    <w:p w14:paraId="447851A8">
      <w:pPr>
        <w:numPr>
          <w:ilvl w:val="0"/>
          <w:numId w:val="13"/>
        </w:numPr>
        <w:spacing w:before="120" w:after="120" w:line="288" w:lineRule="auto"/>
        <w:ind w:left="0"/>
        <w:jc w:val="left"/>
      </w:pPr>
      <w:r>
        <w:rPr>
          <w:rFonts w:ascii="Arial" w:hAnsi="Arial" w:eastAsia="等线" w:cs="Arial"/>
          <w:sz w:val="22"/>
        </w:rPr>
        <w:t>受理和处理涉及民族宗教执法的投诉举报，依法回应社会关切。</w:t>
      </w:r>
    </w:p>
    <w:p w14:paraId="5D62DD76">
      <w:pPr>
        <w:spacing w:before="300" w:after="120" w:line="288" w:lineRule="auto"/>
        <w:ind w:left="0"/>
        <w:jc w:val="left"/>
        <w:outlineLvl w:val="2"/>
      </w:pPr>
      <w:bookmarkStart w:id="8" w:name="heading_8"/>
      <w:r>
        <w:rPr>
          <w:rFonts w:ascii="Arial" w:hAnsi="Arial" w:eastAsia="等线" w:cs="Arial"/>
          <w:b/>
          <w:sz w:val="30"/>
        </w:rPr>
        <w:t>第七条 执法人员管理</w:t>
      </w:r>
      <w:bookmarkEnd w:id="8"/>
    </w:p>
    <w:p w14:paraId="0EC73FD7">
      <w:pPr>
        <w:numPr>
          <w:ilvl w:val="0"/>
          <w:numId w:val="14"/>
        </w:numPr>
        <w:spacing w:before="120" w:after="120" w:line="288" w:lineRule="auto"/>
        <w:ind w:left="0"/>
        <w:jc w:val="left"/>
      </w:pPr>
      <w:r>
        <w:rPr>
          <w:rFonts w:ascii="Arial" w:hAnsi="Arial" w:eastAsia="等线" w:cs="Arial"/>
          <w:sz w:val="22"/>
        </w:rPr>
        <w:t>执法人员必须取得行政执法资格，持有效执法证件上岗执法，严禁无证执法。</w:t>
      </w:r>
    </w:p>
    <w:p w14:paraId="68A4F6E5">
      <w:pPr>
        <w:numPr>
          <w:ilvl w:val="0"/>
          <w:numId w:val="15"/>
        </w:numPr>
        <w:spacing w:before="120" w:after="120" w:line="288" w:lineRule="auto"/>
        <w:ind w:left="0"/>
        <w:jc w:val="left"/>
      </w:pPr>
      <w:r>
        <w:rPr>
          <w:rFonts w:ascii="Arial" w:hAnsi="Arial" w:eastAsia="等线" w:cs="Arial"/>
          <w:sz w:val="22"/>
        </w:rPr>
        <w:t>建立执法人员培训制度，定期开展政治理论、法律法规、业务知识和执法技能培训，提升执法人员综合素质。</w:t>
      </w:r>
    </w:p>
    <w:p w14:paraId="2A951B95">
      <w:pPr>
        <w:numPr>
          <w:ilvl w:val="0"/>
          <w:numId w:val="16"/>
        </w:numPr>
        <w:spacing w:before="120" w:after="120" w:line="288" w:lineRule="auto"/>
        <w:ind w:left="0"/>
        <w:jc w:val="left"/>
      </w:pPr>
      <w:r>
        <w:rPr>
          <w:rFonts w:ascii="Arial" w:hAnsi="Arial" w:eastAsia="等线" w:cs="Arial"/>
          <w:sz w:val="22"/>
        </w:rPr>
        <w:t>实行执法人员考核评价机制，考核结果与评优评先、绩效考核挂钩，对不合格人员及时调整出执法队伍。</w:t>
      </w:r>
    </w:p>
    <w:p w14:paraId="531B6D30">
      <w:pPr>
        <w:numPr>
          <w:ilvl w:val="0"/>
          <w:numId w:val="17"/>
        </w:numPr>
        <w:spacing w:before="120" w:after="120" w:line="288" w:lineRule="auto"/>
        <w:ind w:left="0"/>
        <w:jc w:val="left"/>
      </w:pPr>
      <w:r>
        <w:rPr>
          <w:rFonts w:ascii="Arial" w:hAnsi="Arial" w:eastAsia="等线" w:cs="Arial"/>
          <w:sz w:val="22"/>
        </w:rPr>
        <w:t>执法人员应当遵守执法纪律，恪守职业道德，廉洁自律，自觉接受监督。</w:t>
      </w:r>
    </w:p>
    <w:p w14:paraId="6BEA7677">
      <w:pPr>
        <w:spacing w:before="320" w:after="120" w:line="288" w:lineRule="auto"/>
        <w:ind w:left="0"/>
        <w:jc w:val="center"/>
        <w:outlineLvl w:val="1"/>
      </w:pPr>
      <w:bookmarkStart w:id="9" w:name="heading_9"/>
      <w:r>
        <w:rPr>
          <w:rFonts w:ascii="Arial" w:hAnsi="Arial" w:eastAsia="等线" w:cs="Arial"/>
          <w:b/>
          <w:sz w:val="32"/>
        </w:rPr>
        <w:t>第三章 执法程序</w:t>
      </w:r>
      <w:bookmarkEnd w:id="9"/>
    </w:p>
    <w:p w14:paraId="776BBCA9">
      <w:pPr>
        <w:spacing w:before="300" w:after="120" w:line="288" w:lineRule="auto"/>
        <w:ind w:left="0"/>
        <w:jc w:val="left"/>
        <w:outlineLvl w:val="2"/>
      </w:pPr>
      <w:bookmarkStart w:id="10" w:name="heading_10"/>
      <w:r>
        <w:rPr>
          <w:rFonts w:ascii="Arial" w:hAnsi="Arial" w:eastAsia="等线" w:cs="Arial"/>
          <w:b/>
          <w:sz w:val="30"/>
        </w:rPr>
        <w:t>第一节 行政检查程序</w:t>
      </w:r>
      <w:bookmarkEnd w:id="10"/>
    </w:p>
    <w:p w14:paraId="6ED689C3">
      <w:pPr>
        <w:numPr>
          <w:ilvl w:val="0"/>
          <w:numId w:val="18"/>
        </w:numPr>
        <w:spacing w:before="120" w:after="120" w:line="288" w:lineRule="auto"/>
        <w:ind w:left="0"/>
        <w:jc w:val="left"/>
      </w:pPr>
      <w:r>
        <w:rPr>
          <w:rFonts w:ascii="Arial" w:hAnsi="Arial" w:eastAsia="等线" w:cs="Arial"/>
          <w:sz w:val="22"/>
        </w:rPr>
        <w:t>制定检查计划：民宗部门应当根据工作需要制定年度行政检查计划，明确检查范围、对象、内容、方式和频次，避免重复检查、随意检查。</w:t>
      </w:r>
    </w:p>
    <w:p w14:paraId="2B28542B">
      <w:pPr>
        <w:numPr>
          <w:ilvl w:val="0"/>
          <w:numId w:val="19"/>
        </w:numPr>
        <w:spacing w:before="120" w:after="120" w:line="288" w:lineRule="auto"/>
        <w:ind w:left="0"/>
        <w:jc w:val="left"/>
      </w:pPr>
      <w:r>
        <w:rPr>
          <w:rFonts w:ascii="Arial" w:hAnsi="Arial" w:eastAsia="等线" w:cs="Arial"/>
          <w:sz w:val="22"/>
        </w:rPr>
        <w:t>检查启动：实施检查前，应当向被检查对象出示执法证件，告知检查的目的、依据、内容和权利义务。</w:t>
      </w:r>
    </w:p>
    <w:p w14:paraId="5DCCED03">
      <w:pPr>
        <w:numPr>
          <w:ilvl w:val="0"/>
          <w:numId w:val="20"/>
        </w:numPr>
        <w:spacing w:before="120" w:after="120" w:line="288" w:lineRule="auto"/>
        <w:ind w:left="0"/>
        <w:jc w:val="left"/>
      </w:pPr>
      <w:r>
        <w:rPr>
          <w:rFonts w:ascii="Arial" w:hAnsi="Arial" w:eastAsia="等线" w:cs="Arial"/>
          <w:sz w:val="22"/>
        </w:rPr>
        <w:t>检查实施：检查应当由两名以上执法人员共同进行，如实记录检查情况，制作《现场检查笔录》，由执法人员和被检查对象签字确认；被检查对象拒绝签字的，应当注明情况。必要时可采取拍照、录音、录像等方式固定证据。</w:t>
      </w:r>
    </w:p>
    <w:p w14:paraId="7C20966C">
      <w:pPr>
        <w:numPr>
          <w:ilvl w:val="0"/>
          <w:numId w:val="21"/>
        </w:numPr>
        <w:spacing w:before="120" w:after="120" w:line="288" w:lineRule="auto"/>
        <w:ind w:left="0"/>
        <w:jc w:val="left"/>
      </w:pPr>
      <w:r>
        <w:rPr>
          <w:rFonts w:ascii="Arial" w:hAnsi="Arial" w:eastAsia="等线" w:cs="Arial"/>
          <w:sz w:val="22"/>
        </w:rPr>
        <w:t>结果处理：对检查中发现的合法合规行为，予以肯定并做好记录；对发现的问题，应当当场指出并责令改正，需要后续处理的，依法启动相应执法程序；对涉嫌违法的，及时收集固定证据，依法立案查处。</w:t>
      </w:r>
    </w:p>
    <w:p w14:paraId="14F00CA3">
      <w:pPr>
        <w:spacing w:before="300" w:after="120" w:line="288" w:lineRule="auto"/>
        <w:ind w:left="0"/>
        <w:jc w:val="left"/>
        <w:outlineLvl w:val="2"/>
      </w:pPr>
      <w:bookmarkStart w:id="11" w:name="heading_11"/>
      <w:r>
        <w:rPr>
          <w:rFonts w:ascii="Arial" w:hAnsi="Arial" w:eastAsia="等线" w:cs="Arial"/>
          <w:b/>
          <w:sz w:val="30"/>
        </w:rPr>
        <w:t>第二节 行政许可程序</w:t>
      </w:r>
      <w:bookmarkEnd w:id="11"/>
    </w:p>
    <w:p w14:paraId="16D9A00C">
      <w:pPr>
        <w:numPr>
          <w:ilvl w:val="0"/>
          <w:numId w:val="22"/>
        </w:numPr>
        <w:spacing w:before="120" w:after="120" w:line="288" w:lineRule="auto"/>
        <w:ind w:left="0"/>
        <w:jc w:val="left"/>
      </w:pPr>
      <w:r>
        <w:rPr>
          <w:rFonts w:ascii="Arial" w:hAnsi="Arial" w:eastAsia="等线" w:cs="Arial"/>
          <w:sz w:val="22"/>
        </w:rPr>
        <w:t>申请受理：公民、法人或其他组织提出行政许可申请，民宗部门应当依法审查申请材料，对申请材料齐全、符合法定形式的，当场受理；对材料不齐全或不符合法定形式的，应当一次性告知需要补正的全部内容。</w:t>
      </w:r>
    </w:p>
    <w:p w14:paraId="54733AAC">
      <w:pPr>
        <w:numPr>
          <w:ilvl w:val="0"/>
          <w:numId w:val="23"/>
        </w:numPr>
        <w:spacing w:before="120" w:after="120" w:line="288" w:lineRule="auto"/>
        <w:ind w:left="0"/>
        <w:jc w:val="left"/>
      </w:pPr>
      <w:r>
        <w:rPr>
          <w:rFonts w:ascii="Arial" w:hAnsi="Arial" w:eastAsia="等线" w:cs="Arial"/>
          <w:sz w:val="22"/>
        </w:rPr>
        <w:t>审查办理：根据许可事项的复杂程度，采取书面审查、实地核查等方式进行审查。涉及重大公共利益或申请人、利害关系人重大利益的，应当依法举行听证。</w:t>
      </w:r>
    </w:p>
    <w:p w14:paraId="5C330802">
      <w:pPr>
        <w:numPr>
          <w:ilvl w:val="0"/>
          <w:numId w:val="24"/>
        </w:numPr>
        <w:spacing w:before="120" w:after="120" w:line="288" w:lineRule="auto"/>
        <w:ind w:left="0"/>
        <w:jc w:val="left"/>
      </w:pPr>
      <w:r>
        <w:rPr>
          <w:rFonts w:ascii="Arial" w:hAnsi="Arial" w:eastAsia="等线" w:cs="Arial"/>
          <w:sz w:val="22"/>
        </w:rPr>
        <w:t>决定送达：在法定时限内作出行政许可决定，对符合条件的，颁发许可证件或出具批准文件；对不符合条件的，作出不予许可决定，并说明理由。许可结果应当及时送达申请人，并向社会公示。</w:t>
      </w:r>
    </w:p>
    <w:p w14:paraId="69A3397E">
      <w:pPr>
        <w:spacing w:before="300" w:after="120" w:line="288" w:lineRule="auto"/>
        <w:ind w:left="0"/>
        <w:jc w:val="left"/>
        <w:outlineLvl w:val="2"/>
      </w:pPr>
      <w:bookmarkStart w:id="12" w:name="heading_12"/>
      <w:r>
        <w:rPr>
          <w:rFonts w:ascii="Arial" w:hAnsi="Arial" w:eastAsia="等线" w:cs="Arial"/>
          <w:b/>
          <w:sz w:val="30"/>
        </w:rPr>
        <w:t>第三节 行政处罚程序</w:t>
      </w:r>
      <w:bookmarkEnd w:id="12"/>
    </w:p>
    <w:p w14:paraId="34155B33">
      <w:pPr>
        <w:numPr>
          <w:ilvl w:val="0"/>
          <w:numId w:val="25"/>
        </w:numPr>
        <w:spacing w:before="120" w:after="120" w:line="288" w:lineRule="auto"/>
        <w:ind w:left="0"/>
        <w:jc w:val="left"/>
      </w:pPr>
      <w:r>
        <w:rPr>
          <w:rFonts w:ascii="Arial" w:hAnsi="Arial" w:eastAsia="等线" w:cs="Arial"/>
          <w:sz w:val="22"/>
        </w:rPr>
        <w:t>立案：发现涉嫌违法线索的，应当在7个工作日内进行核查，符合立案条件的，依法立案；不符合立案条件的，不予立案并说明理由。</w:t>
      </w:r>
    </w:p>
    <w:p w14:paraId="3D6B5D5E">
      <w:pPr>
        <w:numPr>
          <w:ilvl w:val="0"/>
          <w:numId w:val="26"/>
        </w:numPr>
        <w:spacing w:before="120" w:after="120" w:line="288" w:lineRule="auto"/>
        <w:ind w:left="0"/>
        <w:jc w:val="left"/>
      </w:pPr>
      <w:r>
        <w:rPr>
          <w:rFonts w:ascii="Arial" w:hAnsi="Arial" w:eastAsia="等线" w:cs="Arial"/>
          <w:sz w:val="22"/>
        </w:rPr>
        <w:t>调查取证：立案后，执法人员应当全面、客观、公正地收集证据，证据包括书证、物证、证人证言、询问笔录、现场检查笔录、视听资料等。调查取证过程应当符合法定程序，不得采用非法手段收集证据。</w:t>
      </w:r>
    </w:p>
    <w:p w14:paraId="3F0F7AC0">
      <w:pPr>
        <w:numPr>
          <w:ilvl w:val="0"/>
          <w:numId w:val="27"/>
        </w:numPr>
        <w:spacing w:before="120" w:after="120" w:line="288" w:lineRule="auto"/>
        <w:ind w:left="0"/>
        <w:jc w:val="left"/>
      </w:pPr>
      <w:r>
        <w:rPr>
          <w:rFonts w:ascii="Arial" w:hAnsi="Arial" w:eastAsia="等线" w:cs="Arial"/>
          <w:sz w:val="22"/>
        </w:rPr>
        <w:t>告知与听证：作出行政处罚决定前，应当告知当事人作出处罚的事实、理由、依据和享有的陈述权、申辩权；对符合听证条件的，应当告知当事人听证权利，当事人要求听证的，应当依法组织听证。</w:t>
      </w:r>
    </w:p>
    <w:p w14:paraId="15B8D7F0">
      <w:pPr>
        <w:numPr>
          <w:ilvl w:val="0"/>
          <w:numId w:val="28"/>
        </w:numPr>
        <w:spacing w:before="120" w:after="120" w:line="288" w:lineRule="auto"/>
        <w:ind w:left="0"/>
        <w:jc w:val="left"/>
      </w:pPr>
      <w:r>
        <w:rPr>
          <w:rFonts w:ascii="Arial" w:hAnsi="Arial" w:eastAsia="等线" w:cs="Arial"/>
          <w:sz w:val="22"/>
        </w:rPr>
        <w:t>决定：根据调查结果和审查意见，在法定时限内作出行政处罚决定。对情节复杂或重大违法行为给予较重处罚的，应当经集体讨论决定。</w:t>
      </w:r>
    </w:p>
    <w:p w14:paraId="582F6CD4">
      <w:pPr>
        <w:numPr>
          <w:ilvl w:val="0"/>
          <w:numId w:val="29"/>
        </w:numPr>
        <w:spacing w:before="120" w:after="120" w:line="288" w:lineRule="auto"/>
        <w:ind w:left="0"/>
        <w:jc w:val="left"/>
      </w:pPr>
      <w:r>
        <w:rPr>
          <w:rFonts w:ascii="Arial" w:hAnsi="Arial" w:eastAsia="等线" w:cs="Arial"/>
          <w:sz w:val="22"/>
        </w:rPr>
        <w:t>送达与执行：行政处罚决定书应当在宣告后当场交付当事人；当事人不在场的，应当在7个工作日内依法送达。当事人应当在规定期限内履行处罚决定，逾期不履行的，依法采取相应强制措施。</w:t>
      </w:r>
    </w:p>
    <w:p w14:paraId="10C5E292">
      <w:pPr>
        <w:spacing w:before="300" w:after="120" w:line="288" w:lineRule="auto"/>
        <w:ind w:left="0"/>
        <w:jc w:val="left"/>
        <w:outlineLvl w:val="2"/>
      </w:pPr>
      <w:bookmarkStart w:id="13" w:name="heading_13"/>
      <w:r>
        <w:rPr>
          <w:rFonts w:ascii="Arial" w:hAnsi="Arial" w:eastAsia="等线" w:cs="Arial"/>
          <w:b/>
          <w:sz w:val="30"/>
        </w:rPr>
        <w:t>第四节 行政强制程序</w:t>
      </w:r>
      <w:bookmarkEnd w:id="13"/>
    </w:p>
    <w:p w14:paraId="6F53A557">
      <w:pPr>
        <w:numPr>
          <w:ilvl w:val="0"/>
          <w:numId w:val="30"/>
        </w:numPr>
        <w:spacing w:before="120" w:after="120" w:line="288" w:lineRule="auto"/>
        <w:ind w:left="0"/>
        <w:jc w:val="left"/>
      </w:pPr>
      <w:r>
        <w:rPr>
          <w:rFonts w:ascii="Arial" w:hAnsi="Arial" w:eastAsia="等线" w:cs="Arial"/>
          <w:sz w:val="22"/>
        </w:rPr>
        <w:t>行政强制措施：实施查封、扣押等行政强制措施的，应当事先报经民宗部门负责人批准，向当事人出示执法证件，当场告知理由、依据和权利，制作现场笔录并由当事人签字确认，依法送达强制措施决定书。</w:t>
      </w:r>
    </w:p>
    <w:p w14:paraId="32C227AC">
      <w:pPr>
        <w:numPr>
          <w:ilvl w:val="0"/>
          <w:numId w:val="31"/>
        </w:numPr>
        <w:spacing w:before="120" w:after="120" w:line="288" w:lineRule="auto"/>
        <w:ind w:left="0"/>
        <w:jc w:val="left"/>
      </w:pPr>
      <w:r>
        <w:rPr>
          <w:rFonts w:ascii="Arial" w:hAnsi="Arial" w:eastAsia="等线" w:cs="Arial"/>
          <w:sz w:val="22"/>
        </w:rPr>
        <w:t>行政强制执行：对当事人逾期不履行行政决定的，应当先进行催告；经催告仍不履行的，依法采取划拨存款、拍卖财物、排除妨碍、恢复原状等强制执行措施，或申请人民法院强制执行。</w:t>
      </w:r>
    </w:p>
    <w:p w14:paraId="699D3264">
      <w:pPr>
        <w:spacing w:before="320" w:after="120" w:line="288" w:lineRule="auto"/>
        <w:ind w:left="0"/>
        <w:jc w:val="center"/>
        <w:outlineLvl w:val="1"/>
      </w:pPr>
      <w:bookmarkStart w:id="14" w:name="heading_14"/>
      <w:r>
        <w:rPr>
          <w:rFonts w:ascii="Arial" w:hAnsi="Arial" w:eastAsia="等线" w:cs="Arial"/>
          <w:b/>
          <w:sz w:val="32"/>
        </w:rPr>
        <w:t>第四章 执法监督与责任追究</w:t>
      </w:r>
      <w:bookmarkEnd w:id="14"/>
    </w:p>
    <w:p w14:paraId="484DC180">
      <w:pPr>
        <w:spacing w:before="300" w:after="120" w:line="288" w:lineRule="auto"/>
        <w:ind w:left="0"/>
        <w:jc w:val="left"/>
        <w:outlineLvl w:val="2"/>
      </w:pPr>
      <w:bookmarkStart w:id="15" w:name="heading_15"/>
      <w:r>
        <w:rPr>
          <w:rFonts w:ascii="Arial" w:hAnsi="Arial" w:eastAsia="等线" w:cs="Arial"/>
          <w:b/>
          <w:sz w:val="30"/>
        </w:rPr>
        <w:t>第八条 内部监督</w:t>
      </w:r>
      <w:bookmarkEnd w:id="15"/>
    </w:p>
    <w:p w14:paraId="37934FD1">
      <w:pPr>
        <w:spacing w:before="120" w:after="120" w:line="288" w:lineRule="auto"/>
        <w:ind w:left="0"/>
        <w:jc w:val="left"/>
      </w:pPr>
      <w:r>
        <w:rPr>
          <w:rFonts w:ascii="Arial" w:hAnsi="Arial" w:eastAsia="等线" w:cs="Arial"/>
          <w:sz w:val="22"/>
        </w:rPr>
        <w:t>民宗部门应当建立健全内部执法监督机制，定期对执法行为进行监督检查，重点核查执法程序、法律适用、裁量基准运用等情况。建立执法案卷评查制度，每年度开展案卷评查，提升案卷质量。</w:t>
      </w:r>
    </w:p>
    <w:p w14:paraId="0ABC03DB">
      <w:pPr>
        <w:spacing w:before="300" w:after="120" w:line="288" w:lineRule="auto"/>
        <w:ind w:left="0"/>
        <w:jc w:val="left"/>
        <w:outlineLvl w:val="2"/>
      </w:pPr>
      <w:bookmarkStart w:id="16" w:name="heading_16"/>
      <w:r>
        <w:rPr>
          <w:rFonts w:ascii="Arial" w:hAnsi="Arial" w:eastAsia="等线" w:cs="Arial"/>
          <w:b/>
          <w:sz w:val="30"/>
        </w:rPr>
        <w:t>第九条 外部监督</w:t>
      </w:r>
      <w:bookmarkEnd w:id="16"/>
    </w:p>
    <w:p w14:paraId="35C57A11">
      <w:pPr>
        <w:spacing w:before="120" w:after="120" w:line="288" w:lineRule="auto"/>
        <w:ind w:left="0"/>
        <w:jc w:val="left"/>
      </w:pPr>
      <w:r>
        <w:rPr>
          <w:rFonts w:ascii="Arial" w:hAnsi="Arial" w:eastAsia="等线" w:cs="Arial"/>
          <w:sz w:val="22"/>
        </w:rPr>
        <w:t>自觉接受人大监督、民主监督、司法监督、社会监督和舆论监督。畅通投诉举报渠道，公布投诉举报方式，对收到的投诉举报应当及时调查处理并反馈结果。</w:t>
      </w:r>
    </w:p>
    <w:p w14:paraId="37F0ACE3">
      <w:pPr>
        <w:spacing w:before="300" w:after="120" w:line="288" w:lineRule="auto"/>
        <w:ind w:left="0"/>
        <w:jc w:val="left"/>
        <w:outlineLvl w:val="2"/>
      </w:pPr>
      <w:bookmarkStart w:id="17" w:name="heading_17"/>
      <w:r>
        <w:rPr>
          <w:rFonts w:ascii="Arial" w:hAnsi="Arial" w:eastAsia="等线" w:cs="Arial"/>
          <w:b/>
          <w:sz w:val="30"/>
        </w:rPr>
        <w:t>第十条 责任追究</w:t>
      </w:r>
      <w:bookmarkEnd w:id="17"/>
    </w:p>
    <w:p w14:paraId="44417E92">
      <w:pPr>
        <w:numPr>
          <w:ilvl w:val="0"/>
          <w:numId w:val="32"/>
        </w:numPr>
        <w:spacing w:before="120" w:after="120" w:line="288" w:lineRule="auto"/>
        <w:ind w:left="0"/>
        <w:jc w:val="left"/>
      </w:pPr>
      <w:r>
        <w:rPr>
          <w:rFonts w:ascii="Arial" w:hAnsi="Arial" w:eastAsia="等线" w:cs="Arial"/>
          <w:sz w:val="22"/>
        </w:rPr>
        <w:t>执法人员有下列情形之一的，依规依纪给予处分；涉嫌犯罪的，依法移送司法机关：</w:t>
      </w:r>
      <w:r>
        <w:rPr>
          <w:rFonts w:ascii="Arial" w:hAnsi="Arial" w:eastAsia="等线" w:cs="Arial"/>
          <w:sz w:val="22"/>
        </w:rPr>
        <w:br w:type="textWrapping"/>
      </w:r>
      <w:r>
        <w:rPr>
          <w:rFonts w:ascii="Arial" w:hAnsi="Arial" w:eastAsia="等线" w:cs="Arial"/>
          <w:sz w:val="22"/>
        </w:rPr>
        <w:t xml:space="preserve">        </w:t>
      </w:r>
    </w:p>
    <w:p w14:paraId="0E918181">
      <w:pPr>
        <w:numPr>
          <w:ilvl w:val="0"/>
          <w:numId w:val="33"/>
        </w:numPr>
        <w:spacing w:before="120" w:after="120" w:line="288" w:lineRule="auto"/>
        <w:ind w:left="453"/>
        <w:jc w:val="left"/>
      </w:pPr>
      <w:r>
        <w:rPr>
          <w:rFonts w:ascii="Arial" w:hAnsi="Arial" w:eastAsia="等线" w:cs="Arial"/>
          <w:sz w:val="22"/>
        </w:rPr>
        <w:t>未取得执法资格擅自执法的；</w:t>
      </w:r>
    </w:p>
    <w:p w14:paraId="5C3C55C1">
      <w:pPr>
        <w:numPr>
          <w:ilvl w:val="0"/>
          <w:numId w:val="34"/>
        </w:numPr>
        <w:spacing w:before="120" w:after="120" w:line="288" w:lineRule="auto"/>
        <w:ind w:left="453"/>
        <w:jc w:val="left"/>
      </w:pPr>
      <w:r>
        <w:rPr>
          <w:rFonts w:ascii="Arial" w:hAnsi="Arial" w:eastAsia="等线" w:cs="Arial"/>
          <w:sz w:val="22"/>
        </w:rPr>
        <w:t>超越法定权限、违反法定程序执法的；</w:t>
      </w:r>
    </w:p>
    <w:p w14:paraId="57F36F02">
      <w:pPr>
        <w:numPr>
          <w:ilvl w:val="0"/>
          <w:numId w:val="35"/>
        </w:numPr>
        <w:spacing w:before="120" w:after="120" w:line="288" w:lineRule="auto"/>
        <w:ind w:left="453"/>
        <w:jc w:val="left"/>
      </w:pPr>
      <w:r>
        <w:rPr>
          <w:rFonts w:ascii="Arial" w:hAnsi="Arial" w:eastAsia="等线" w:cs="Arial"/>
          <w:sz w:val="22"/>
        </w:rPr>
        <w:t>滥用职权、徇私舞弊、玩忽职守的；</w:t>
      </w:r>
    </w:p>
    <w:p w14:paraId="39AE65A8">
      <w:pPr>
        <w:numPr>
          <w:ilvl w:val="0"/>
          <w:numId w:val="36"/>
        </w:numPr>
        <w:spacing w:before="120" w:after="120" w:line="288" w:lineRule="auto"/>
        <w:ind w:left="453"/>
        <w:jc w:val="left"/>
      </w:pPr>
      <w:r>
        <w:rPr>
          <w:rFonts w:ascii="Arial" w:hAnsi="Arial" w:eastAsia="等线" w:cs="Arial"/>
          <w:sz w:val="22"/>
        </w:rPr>
        <w:t>伪造、篡改、隐匿或销毁证据的；</w:t>
      </w:r>
    </w:p>
    <w:p w14:paraId="003CE11B">
      <w:pPr>
        <w:numPr>
          <w:ilvl w:val="0"/>
          <w:numId w:val="37"/>
        </w:numPr>
        <w:spacing w:before="120" w:after="120" w:line="288" w:lineRule="auto"/>
        <w:ind w:left="453"/>
        <w:jc w:val="left"/>
      </w:pPr>
      <w:r>
        <w:rPr>
          <w:rFonts w:ascii="Arial" w:hAnsi="Arial" w:eastAsia="等线" w:cs="Arial"/>
          <w:sz w:val="22"/>
        </w:rPr>
        <w:t>泄露执法中知悉的国家秘密、商业秘密或个人隐私的；</w:t>
      </w:r>
    </w:p>
    <w:p w14:paraId="4DDE072B">
      <w:pPr>
        <w:numPr>
          <w:ilvl w:val="0"/>
          <w:numId w:val="38"/>
        </w:numPr>
        <w:spacing w:before="120" w:after="120" w:line="288" w:lineRule="auto"/>
        <w:ind w:left="453"/>
        <w:jc w:val="left"/>
      </w:pPr>
      <w:r>
        <w:rPr>
          <w:rFonts w:ascii="Arial" w:hAnsi="Arial" w:eastAsia="等线" w:cs="Arial"/>
          <w:sz w:val="22"/>
        </w:rPr>
        <w:t>其他违法违规执法行为。</w:t>
      </w:r>
    </w:p>
    <w:p w14:paraId="38090C2A">
      <w:pPr>
        <w:numPr>
          <w:ilvl w:val="0"/>
          <w:numId w:val="39"/>
        </w:numPr>
        <w:spacing w:before="120" w:after="120" w:line="288" w:lineRule="auto"/>
        <w:ind w:left="0"/>
        <w:jc w:val="left"/>
      </w:pPr>
      <w:r>
        <w:rPr>
          <w:rFonts w:ascii="Arial" w:hAnsi="Arial" w:eastAsia="等线" w:cs="Arial"/>
          <w:sz w:val="22"/>
        </w:rPr>
        <w:t>因执法不当造成当事人合法权益损害的，依法承担赔偿责任；对相关责任人依规追责。</w:t>
      </w:r>
    </w:p>
    <w:p w14:paraId="3DE1BAC3">
      <w:pPr>
        <w:spacing w:before="320" w:after="120" w:line="288" w:lineRule="auto"/>
        <w:ind w:left="0"/>
        <w:jc w:val="center"/>
        <w:outlineLvl w:val="1"/>
      </w:pPr>
      <w:bookmarkStart w:id="18" w:name="heading_18"/>
      <w:r>
        <w:rPr>
          <w:rFonts w:ascii="Arial" w:hAnsi="Arial" w:eastAsia="等线" w:cs="Arial"/>
          <w:b/>
          <w:sz w:val="32"/>
        </w:rPr>
        <w:t>第五章 执法保障与信息化建设</w:t>
      </w:r>
      <w:bookmarkEnd w:id="18"/>
    </w:p>
    <w:p w14:paraId="2D4F26F6">
      <w:pPr>
        <w:spacing w:before="300" w:after="120" w:line="288" w:lineRule="auto"/>
        <w:ind w:left="0"/>
        <w:jc w:val="left"/>
        <w:outlineLvl w:val="2"/>
      </w:pPr>
      <w:bookmarkStart w:id="19" w:name="heading_19"/>
      <w:r>
        <w:rPr>
          <w:rFonts w:ascii="Arial" w:hAnsi="Arial" w:eastAsia="等线" w:cs="Arial"/>
          <w:b/>
          <w:sz w:val="30"/>
        </w:rPr>
        <w:t>第十一条 执法保障</w:t>
      </w:r>
      <w:bookmarkEnd w:id="19"/>
    </w:p>
    <w:p w14:paraId="4DB7CA80">
      <w:pPr>
        <w:spacing w:before="120" w:after="120" w:line="288" w:lineRule="auto"/>
        <w:ind w:left="0"/>
        <w:jc w:val="left"/>
      </w:pPr>
      <w:r>
        <w:rPr>
          <w:rFonts w:ascii="Arial" w:hAnsi="Arial" w:eastAsia="等线" w:cs="Arial"/>
          <w:sz w:val="22"/>
        </w:rPr>
        <w:t>各级民宗部门应当加强执法保障，合理配备执法人员、执法装备和工作经费，保障执法工作正常开展。执法装备包括执法记录仪、调查取证设备、应急处置设备等，确保执法过程全程留痕。</w:t>
      </w:r>
    </w:p>
    <w:p w14:paraId="67F8E496">
      <w:pPr>
        <w:spacing w:before="300" w:after="120" w:line="288" w:lineRule="auto"/>
        <w:ind w:left="0"/>
        <w:jc w:val="left"/>
        <w:outlineLvl w:val="2"/>
      </w:pPr>
      <w:bookmarkStart w:id="20" w:name="heading_20"/>
      <w:r>
        <w:rPr>
          <w:rFonts w:ascii="Arial" w:hAnsi="Arial" w:eastAsia="等线" w:cs="Arial"/>
          <w:b/>
          <w:sz w:val="30"/>
        </w:rPr>
        <w:t>第十二条 信息化建设</w:t>
      </w:r>
      <w:bookmarkEnd w:id="20"/>
    </w:p>
    <w:p w14:paraId="0043A89B">
      <w:pPr>
        <w:spacing w:before="120" w:after="120" w:line="288" w:lineRule="auto"/>
        <w:ind w:left="0"/>
        <w:jc w:val="left"/>
      </w:pPr>
      <w:r>
        <w:rPr>
          <w:rFonts w:ascii="Arial" w:hAnsi="Arial" w:eastAsia="等线" w:cs="Arial"/>
          <w:sz w:val="22"/>
        </w:rPr>
        <w:t>推进执法信息化建设，依托行政执法信息化平台，实现执法事项网上办理、执法流程网上监管、执法数据网上统计。建立宗教教职人员、宗教活动场所等执法对象数据库，实现信息共享和动态管理。推广使用电子执法文书，提升执法效率和规范化水平。</w:t>
      </w:r>
    </w:p>
    <w:p w14:paraId="3E1EFC98">
      <w:pPr>
        <w:spacing w:before="320" w:after="120" w:line="288" w:lineRule="auto"/>
        <w:ind w:left="0"/>
        <w:jc w:val="center"/>
        <w:outlineLvl w:val="1"/>
      </w:pPr>
      <w:bookmarkStart w:id="21" w:name="heading_21"/>
      <w:bookmarkStart w:id="24" w:name="_GoBack"/>
      <w:r>
        <w:rPr>
          <w:rFonts w:ascii="Arial" w:hAnsi="Arial" w:eastAsia="等线" w:cs="Arial"/>
          <w:b/>
          <w:sz w:val="32"/>
        </w:rPr>
        <w:t>第六章 附则</w:t>
      </w:r>
      <w:bookmarkEnd w:id="21"/>
    </w:p>
    <w:bookmarkEnd w:id="24"/>
    <w:p w14:paraId="349BC311">
      <w:pPr>
        <w:spacing w:before="300" w:after="120" w:line="288" w:lineRule="auto"/>
        <w:ind w:left="0"/>
        <w:jc w:val="left"/>
        <w:outlineLvl w:val="2"/>
      </w:pPr>
      <w:bookmarkStart w:id="22" w:name="heading_22"/>
      <w:r>
        <w:rPr>
          <w:rFonts w:ascii="Arial" w:hAnsi="Arial" w:eastAsia="等线" w:cs="Arial"/>
          <w:b/>
          <w:sz w:val="30"/>
        </w:rPr>
        <w:t>第十三条 制度解释</w:t>
      </w:r>
      <w:bookmarkEnd w:id="22"/>
    </w:p>
    <w:p w14:paraId="690D7D40">
      <w:pPr>
        <w:spacing w:before="120" w:after="120" w:line="288" w:lineRule="auto"/>
        <w:ind w:left="0"/>
        <w:jc w:val="left"/>
      </w:pPr>
      <w:r>
        <w:rPr>
          <w:rFonts w:ascii="Arial" w:hAnsi="Arial" w:eastAsia="等线" w:cs="Arial"/>
          <w:sz w:val="22"/>
        </w:rPr>
        <w:t>本制度由各级民族宗教事务部门负责解释。各地可结合本地实际，制定实施细则。</w:t>
      </w:r>
    </w:p>
    <w:p w14:paraId="1F3B2C8E">
      <w:pPr>
        <w:spacing w:before="300" w:after="120" w:line="288" w:lineRule="auto"/>
        <w:ind w:left="0"/>
        <w:jc w:val="left"/>
        <w:outlineLvl w:val="2"/>
      </w:pPr>
      <w:bookmarkStart w:id="23" w:name="heading_23"/>
      <w:r>
        <w:rPr>
          <w:rFonts w:ascii="Arial" w:hAnsi="Arial" w:eastAsia="等线" w:cs="Arial"/>
          <w:b/>
          <w:sz w:val="30"/>
        </w:rPr>
        <w:t>第十四条 实施日期</w:t>
      </w:r>
      <w:bookmarkEnd w:id="23"/>
    </w:p>
    <w:p w14:paraId="74B75A60">
      <w:pPr>
        <w:spacing w:before="120" w:after="120" w:line="288" w:lineRule="auto"/>
        <w:ind w:left="0"/>
        <w:jc w:val="left"/>
      </w:pPr>
      <w:r>
        <w:rPr>
          <w:rFonts w:ascii="Arial" w:hAnsi="Arial" w:eastAsia="等线" w:cs="Arial"/>
          <w:sz w:val="22"/>
        </w:rPr>
        <w:t>本制度自发布之日起施行。以往相关规定与本制度不一致的，以本制度为准。</w:t>
      </w:r>
    </w:p>
    <w:p w14:paraId="21D3AEE2">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C35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CF6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61FADE"/>
    <w:multiLevelType w:val="singleLevel"/>
    <w:tmpl w:val="8461FADE"/>
    <w:lvl w:ilvl="0" w:tentative="0">
      <w:start w:val="2"/>
      <w:numFmt w:val="decimal"/>
      <w:lvlText w:val="%1."/>
      <w:lvlJc w:val="left"/>
      <w:rPr>
        <w:color w:val="3370FF"/>
      </w:rPr>
    </w:lvl>
  </w:abstractNum>
  <w:abstractNum w:abstractNumId="2">
    <w:nsid w:val="9239341B"/>
    <w:multiLevelType w:val="singleLevel"/>
    <w:tmpl w:val="9239341B"/>
    <w:lvl w:ilvl="0" w:tentative="0">
      <w:start w:val="5"/>
      <w:numFmt w:val="decimal"/>
      <w:lvlText w:val="%1."/>
      <w:lvlJc w:val="left"/>
      <w:rPr>
        <w:color w:val="3370FF"/>
      </w:rPr>
    </w:lvl>
  </w:abstractNum>
  <w:abstractNum w:abstractNumId="3">
    <w:nsid w:val="9288B902"/>
    <w:multiLevelType w:val="singleLevel"/>
    <w:tmpl w:val="9288B902"/>
    <w:lvl w:ilvl="0" w:tentative="0">
      <w:start w:val="5"/>
      <w:numFmt w:val="decimal"/>
      <w:lvlText w:val="%1."/>
      <w:lvlJc w:val="left"/>
      <w:rPr>
        <w:color w:val="3370FF"/>
      </w:rPr>
    </w:lvl>
  </w:abstractNum>
  <w:abstractNum w:abstractNumId="4">
    <w:nsid w:val="9C8AC8EF"/>
    <w:multiLevelType w:val="singleLevel"/>
    <w:tmpl w:val="9C8AC8EF"/>
    <w:lvl w:ilvl="0" w:tentative="0">
      <w:start w:val="2"/>
      <w:numFmt w:val="decimal"/>
      <w:lvlText w:val="%1."/>
      <w:lvlJc w:val="left"/>
      <w:rPr>
        <w:color w:val="3370FF"/>
      </w:rPr>
    </w:lvl>
  </w:abstractNum>
  <w:abstractNum w:abstractNumId="5">
    <w:nsid w:val="B0F1ACD9"/>
    <w:multiLevelType w:val="singleLevel"/>
    <w:tmpl w:val="B0F1ACD9"/>
    <w:lvl w:ilvl="0" w:tentative="0">
      <w:start w:val="3"/>
      <w:numFmt w:val="decimal"/>
      <w:lvlText w:val="%1."/>
      <w:lvlJc w:val="left"/>
      <w:rPr>
        <w:color w:val="3370FF"/>
      </w:rPr>
    </w:lvl>
  </w:abstractNum>
  <w:abstractNum w:abstractNumId="6">
    <w:nsid w:val="B5E306ED"/>
    <w:multiLevelType w:val="singleLevel"/>
    <w:tmpl w:val="B5E306ED"/>
    <w:lvl w:ilvl="0" w:tentative="0">
      <w:start w:val="5"/>
      <w:numFmt w:val="decimal"/>
      <w:lvlText w:val="%1."/>
      <w:lvlJc w:val="left"/>
      <w:rPr>
        <w:color w:val="3370FF"/>
      </w:rPr>
    </w:lvl>
  </w:abstractNum>
  <w:abstractNum w:abstractNumId="7">
    <w:nsid w:val="BE923771"/>
    <w:multiLevelType w:val="singleLevel"/>
    <w:tmpl w:val="BE923771"/>
    <w:lvl w:ilvl="0" w:tentative="0">
      <w:start w:val="3"/>
      <w:numFmt w:val="decimal"/>
      <w:lvlText w:val="%1."/>
      <w:lvlJc w:val="left"/>
      <w:rPr>
        <w:color w:val="3370FF"/>
      </w:rPr>
    </w:lvl>
  </w:abstractNum>
  <w:abstractNum w:abstractNumId="8">
    <w:nsid w:val="BF205925"/>
    <w:multiLevelType w:val="singleLevel"/>
    <w:tmpl w:val="BF205925"/>
    <w:lvl w:ilvl="0" w:tentative="0">
      <w:start w:val="4"/>
      <w:numFmt w:val="decimal"/>
      <w:lvlText w:val="%1."/>
      <w:lvlJc w:val="left"/>
      <w:rPr>
        <w:color w:val="3370FF"/>
      </w:rPr>
    </w:lvl>
  </w:abstractNum>
  <w:abstractNum w:abstractNumId="9">
    <w:nsid w:val="C8879AEF"/>
    <w:multiLevelType w:val="singleLevel"/>
    <w:tmpl w:val="C8879AEF"/>
    <w:lvl w:ilvl="0" w:tentative="0">
      <w:start w:val="8"/>
      <w:numFmt w:val="decimal"/>
      <w:lvlText w:val="%1."/>
      <w:lvlJc w:val="left"/>
      <w:rPr>
        <w:color w:val="3370FF"/>
      </w:rPr>
    </w:lvl>
  </w:abstractNum>
  <w:abstractNum w:abstractNumId="10">
    <w:nsid w:val="CF092B84"/>
    <w:multiLevelType w:val="singleLevel"/>
    <w:tmpl w:val="CF092B84"/>
    <w:lvl w:ilvl="0" w:tentative="0">
      <w:start w:val="2"/>
      <w:numFmt w:val="decimal"/>
      <w:lvlText w:val="%1."/>
      <w:lvlJc w:val="left"/>
      <w:rPr>
        <w:color w:val="3370FF"/>
      </w:rPr>
    </w:lvl>
  </w:abstractNum>
  <w:abstractNum w:abstractNumId="11">
    <w:nsid w:val="D7F9FE59"/>
    <w:multiLevelType w:val="singleLevel"/>
    <w:tmpl w:val="D7F9FE59"/>
    <w:lvl w:ilvl="0" w:tentative="0">
      <w:start w:val="1"/>
      <w:numFmt w:val="decimal"/>
      <w:lvlText w:val="%1."/>
      <w:lvlJc w:val="left"/>
      <w:rPr>
        <w:color w:val="3370FF"/>
      </w:rPr>
    </w:lvl>
  </w:abstractNum>
  <w:abstractNum w:abstractNumId="12">
    <w:nsid w:val="DCBA6B53"/>
    <w:multiLevelType w:val="singleLevel"/>
    <w:tmpl w:val="DCBA6B53"/>
    <w:lvl w:ilvl="0" w:tentative="0">
      <w:start w:val="4"/>
      <w:numFmt w:val="decimal"/>
      <w:lvlText w:val="%1."/>
      <w:lvlJc w:val="left"/>
      <w:rPr>
        <w:color w:val="3370FF"/>
      </w:rPr>
    </w:lvl>
  </w:abstractNum>
  <w:abstractNum w:abstractNumId="13">
    <w:nsid w:val="E093A4B0"/>
    <w:multiLevelType w:val="singleLevel"/>
    <w:tmpl w:val="E093A4B0"/>
    <w:lvl w:ilvl="0" w:tentative="0">
      <w:start w:val="0"/>
      <w:numFmt w:val="bullet"/>
      <w:lvlText w:val="￮"/>
      <w:lvlJc w:val="left"/>
      <w:rPr>
        <w:color w:val="3370FF"/>
      </w:rPr>
    </w:lvl>
  </w:abstractNum>
  <w:abstractNum w:abstractNumId="14">
    <w:nsid w:val="F4B5D9F5"/>
    <w:multiLevelType w:val="singleLevel"/>
    <w:tmpl w:val="F4B5D9F5"/>
    <w:lvl w:ilvl="0" w:tentative="0">
      <w:start w:val="2"/>
      <w:numFmt w:val="decimal"/>
      <w:lvlText w:val="%1."/>
      <w:lvlJc w:val="left"/>
      <w:rPr>
        <w:color w:val="3370FF"/>
      </w:rPr>
    </w:lvl>
  </w:abstractNum>
  <w:abstractNum w:abstractNumId="15">
    <w:nsid w:val="F7735DC9"/>
    <w:multiLevelType w:val="singleLevel"/>
    <w:tmpl w:val="F7735DC9"/>
    <w:lvl w:ilvl="0" w:tentative="0">
      <w:start w:val="0"/>
      <w:numFmt w:val="bullet"/>
      <w:lvlText w:val="￮"/>
      <w:lvlJc w:val="left"/>
      <w:rPr>
        <w:color w:val="3370FF"/>
      </w:rPr>
    </w:lvl>
  </w:abstractNum>
  <w:abstractNum w:abstractNumId="16">
    <w:nsid w:val="0053208E"/>
    <w:multiLevelType w:val="singleLevel"/>
    <w:tmpl w:val="0053208E"/>
    <w:lvl w:ilvl="0" w:tentative="0">
      <w:start w:val="1"/>
      <w:numFmt w:val="decimal"/>
      <w:lvlText w:val="%1."/>
      <w:lvlJc w:val="left"/>
      <w:rPr>
        <w:color w:val="3370FF"/>
      </w:rPr>
    </w:lvl>
  </w:abstractNum>
  <w:abstractNum w:abstractNumId="17">
    <w:nsid w:val="0248C179"/>
    <w:multiLevelType w:val="singleLevel"/>
    <w:tmpl w:val="0248C179"/>
    <w:lvl w:ilvl="0" w:tentative="0">
      <w:start w:val="4"/>
      <w:numFmt w:val="decimal"/>
      <w:lvlText w:val="%1."/>
      <w:lvlJc w:val="left"/>
      <w:rPr>
        <w:color w:val="3370FF"/>
      </w:rPr>
    </w:lvl>
  </w:abstractNum>
  <w:abstractNum w:abstractNumId="18">
    <w:nsid w:val="03D62ECE"/>
    <w:multiLevelType w:val="singleLevel"/>
    <w:tmpl w:val="03D62ECE"/>
    <w:lvl w:ilvl="0" w:tentative="0">
      <w:start w:val="1"/>
      <w:numFmt w:val="decimal"/>
      <w:lvlText w:val="%1."/>
      <w:lvlJc w:val="left"/>
      <w:rPr>
        <w:color w:val="3370FF"/>
      </w:rPr>
    </w:lvl>
  </w:abstractNum>
  <w:abstractNum w:abstractNumId="19">
    <w:nsid w:val="0E640482"/>
    <w:multiLevelType w:val="singleLevel"/>
    <w:tmpl w:val="0E640482"/>
    <w:lvl w:ilvl="0" w:tentative="0">
      <w:start w:val="1"/>
      <w:numFmt w:val="decimal"/>
      <w:lvlText w:val="%1."/>
      <w:lvlJc w:val="left"/>
      <w:rPr>
        <w:color w:val="3370FF"/>
      </w:rPr>
    </w:lvl>
  </w:abstractNum>
  <w:abstractNum w:abstractNumId="20">
    <w:nsid w:val="243FCF68"/>
    <w:multiLevelType w:val="singleLevel"/>
    <w:tmpl w:val="243FCF68"/>
    <w:lvl w:ilvl="0" w:tentative="0">
      <w:start w:val="0"/>
      <w:numFmt w:val="bullet"/>
      <w:lvlText w:val="￮"/>
      <w:lvlJc w:val="left"/>
      <w:rPr>
        <w:color w:val="3370FF"/>
      </w:rPr>
    </w:lvl>
  </w:abstractNum>
  <w:abstractNum w:abstractNumId="21">
    <w:nsid w:val="2470EC97"/>
    <w:multiLevelType w:val="singleLevel"/>
    <w:tmpl w:val="2470EC97"/>
    <w:lvl w:ilvl="0" w:tentative="0">
      <w:start w:val="3"/>
      <w:numFmt w:val="decimal"/>
      <w:lvlText w:val="%1."/>
      <w:lvlJc w:val="left"/>
      <w:rPr>
        <w:color w:val="3370FF"/>
      </w:rPr>
    </w:lvl>
  </w:abstractNum>
  <w:abstractNum w:abstractNumId="22">
    <w:nsid w:val="25B654F3"/>
    <w:multiLevelType w:val="singleLevel"/>
    <w:tmpl w:val="25B654F3"/>
    <w:lvl w:ilvl="0" w:tentative="0">
      <w:start w:val="2"/>
      <w:numFmt w:val="decimal"/>
      <w:lvlText w:val="%1."/>
      <w:lvlJc w:val="left"/>
      <w:rPr>
        <w:color w:val="3370FF"/>
      </w:rPr>
    </w:lvl>
  </w:abstractNum>
  <w:abstractNum w:abstractNumId="23">
    <w:nsid w:val="2A8F537B"/>
    <w:multiLevelType w:val="singleLevel"/>
    <w:tmpl w:val="2A8F537B"/>
    <w:lvl w:ilvl="0" w:tentative="0">
      <w:start w:val="6"/>
      <w:numFmt w:val="decimal"/>
      <w:lvlText w:val="%1."/>
      <w:lvlJc w:val="left"/>
      <w:rPr>
        <w:color w:val="3370FF"/>
      </w:rPr>
    </w:lvl>
  </w:abstractNum>
  <w:abstractNum w:abstractNumId="24">
    <w:nsid w:val="30FC5B15"/>
    <w:multiLevelType w:val="singleLevel"/>
    <w:tmpl w:val="30FC5B15"/>
    <w:lvl w:ilvl="0" w:tentative="0">
      <w:start w:val="2"/>
      <w:numFmt w:val="decimal"/>
      <w:lvlText w:val="%1."/>
      <w:lvlJc w:val="left"/>
      <w:rPr>
        <w:color w:val="3370FF"/>
      </w:rPr>
    </w:lvl>
  </w:abstractNum>
  <w:abstractNum w:abstractNumId="25">
    <w:nsid w:val="39A0D9AC"/>
    <w:multiLevelType w:val="singleLevel"/>
    <w:tmpl w:val="39A0D9AC"/>
    <w:lvl w:ilvl="0" w:tentative="0">
      <w:start w:val="1"/>
      <w:numFmt w:val="decimal"/>
      <w:lvlText w:val="%1."/>
      <w:lvlJc w:val="left"/>
      <w:rPr>
        <w:color w:val="3370FF"/>
      </w:rPr>
    </w:lvl>
  </w:abstractNum>
  <w:abstractNum w:abstractNumId="26">
    <w:nsid w:val="46A08BB8"/>
    <w:multiLevelType w:val="singleLevel"/>
    <w:tmpl w:val="46A08BB8"/>
    <w:lvl w:ilvl="0" w:tentative="0">
      <w:start w:val="2"/>
      <w:numFmt w:val="decimal"/>
      <w:lvlText w:val="%1."/>
      <w:lvlJc w:val="left"/>
      <w:rPr>
        <w:color w:val="3370FF"/>
      </w:rPr>
    </w:lvl>
  </w:abstractNum>
  <w:abstractNum w:abstractNumId="27">
    <w:nsid w:val="4C1BAE26"/>
    <w:multiLevelType w:val="singleLevel"/>
    <w:tmpl w:val="4C1BAE26"/>
    <w:lvl w:ilvl="0" w:tentative="0">
      <w:start w:val="3"/>
      <w:numFmt w:val="decimal"/>
      <w:lvlText w:val="%1."/>
      <w:lvlJc w:val="left"/>
      <w:rPr>
        <w:color w:val="3370FF"/>
      </w:rPr>
    </w:lvl>
  </w:abstractNum>
  <w:abstractNum w:abstractNumId="28">
    <w:nsid w:val="4D4DC07F"/>
    <w:multiLevelType w:val="singleLevel"/>
    <w:tmpl w:val="4D4DC07F"/>
    <w:lvl w:ilvl="0" w:tentative="0">
      <w:start w:val="1"/>
      <w:numFmt w:val="decimal"/>
      <w:lvlText w:val="%1."/>
      <w:lvlJc w:val="left"/>
      <w:rPr>
        <w:color w:val="3370FF"/>
      </w:rPr>
    </w:lvl>
  </w:abstractNum>
  <w:abstractNum w:abstractNumId="29">
    <w:nsid w:val="4D94DA66"/>
    <w:multiLevelType w:val="singleLevel"/>
    <w:tmpl w:val="4D94DA66"/>
    <w:lvl w:ilvl="0" w:tentative="0">
      <w:start w:val="0"/>
      <w:numFmt w:val="bullet"/>
      <w:lvlText w:val="￮"/>
      <w:lvlJc w:val="left"/>
      <w:rPr>
        <w:color w:val="3370FF"/>
      </w:rPr>
    </w:lvl>
  </w:abstractNum>
  <w:abstractNum w:abstractNumId="30">
    <w:nsid w:val="58765686"/>
    <w:multiLevelType w:val="singleLevel"/>
    <w:tmpl w:val="58765686"/>
    <w:lvl w:ilvl="0" w:tentative="0">
      <w:start w:val="1"/>
      <w:numFmt w:val="decimal"/>
      <w:lvlText w:val="%1."/>
      <w:lvlJc w:val="left"/>
      <w:rPr>
        <w:color w:val="3370FF"/>
      </w:rPr>
    </w:lvl>
  </w:abstractNum>
  <w:abstractNum w:abstractNumId="31">
    <w:nsid w:val="59ADCABA"/>
    <w:multiLevelType w:val="singleLevel"/>
    <w:tmpl w:val="59ADCABA"/>
    <w:lvl w:ilvl="0" w:tentative="0">
      <w:start w:val="3"/>
      <w:numFmt w:val="decimal"/>
      <w:lvlText w:val="%1."/>
      <w:lvlJc w:val="left"/>
      <w:rPr>
        <w:color w:val="3370FF"/>
      </w:rPr>
    </w:lvl>
  </w:abstractNum>
  <w:abstractNum w:abstractNumId="32">
    <w:nsid w:val="5A241D34"/>
    <w:multiLevelType w:val="singleLevel"/>
    <w:tmpl w:val="5A241D34"/>
    <w:lvl w:ilvl="0" w:tentative="0">
      <w:start w:val="7"/>
      <w:numFmt w:val="decimal"/>
      <w:lvlText w:val="%1."/>
      <w:lvlJc w:val="left"/>
      <w:rPr>
        <w:color w:val="3370FF"/>
      </w:rPr>
    </w:lvl>
  </w:abstractNum>
  <w:abstractNum w:abstractNumId="33">
    <w:nsid w:val="60382F6E"/>
    <w:multiLevelType w:val="singleLevel"/>
    <w:tmpl w:val="60382F6E"/>
    <w:lvl w:ilvl="0" w:tentative="0">
      <w:start w:val="4"/>
      <w:numFmt w:val="decimal"/>
      <w:lvlText w:val="%1."/>
      <w:lvlJc w:val="left"/>
      <w:rPr>
        <w:color w:val="3370FF"/>
      </w:rPr>
    </w:lvl>
  </w:abstractNum>
  <w:abstractNum w:abstractNumId="34">
    <w:nsid w:val="629F7852"/>
    <w:multiLevelType w:val="singleLevel"/>
    <w:tmpl w:val="629F7852"/>
    <w:lvl w:ilvl="0" w:tentative="0">
      <w:start w:val="4"/>
      <w:numFmt w:val="decimal"/>
      <w:lvlText w:val="%1."/>
      <w:lvlJc w:val="left"/>
      <w:rPr>
        <w:color w:val="3370FF"/>
      </w:rPr>
    </w:lvl>
  </w:abstractNum>
  <w:abstractNum w:abstractNumId="35">
    <w:nsid w:val="72183CF9"/>
    <w:multiLevelType w:val="singleLevel"/>
    <w:tmpl w:val="72183CF9"/>
    <w:lvl w:ilvl="0" w:tentative="0">
      <w:start w:val="3"/>
      <w:numFmt w:val="decimal"/>
      <w:lvlText w:val="%1."/>
      <w:lvlJc w:val="left"/>
      <w:rPr>
        <w:color w:val="3370FF"/>
      </w:rPr>
    </w:lvl>
  </w:abstractNum>
  <w:abstractNum w:abstractNumId="36">
    <w:nsid w:val="77ECEA79"/>
    <w:multiLevelType w:val="singleLevel"/>
    <w:tmpl w:val="77ECEA79"/>
    <w:lvl w:ilvl="0" w:tentative="0">
      <w:start w:val="2"/>
      <w:numFmt w:val="decimal"/>
      <w:lvlText w:val="%1."/>
      <w:lvlJc w:val="left"/>
      <w:rPr>
        <w:color w:val="3370FF"/>
      </w:rPr>
    </w:lvl>
  </w:abstractNum>
  <w:abstractNum w:abstractNumId="37">
    <w:nsid w:val="7C246926"/>
    <w:multiLevelType w:val="singleLevel"/>
    <w:tmpl w:val="7C246926"/>
    <w:lvl w:ilvl="0" w:tentative="0">
      <w:start w:val="1"/>
      <w:numFmt w:val="decimal"/>
      <w:lvlText w:val="%1."/>
      <w:lvlJc w:val="left"/>
      <w:rPr>
        <w:color w:val="3370FF"/>
      </w:rPr>
    </w:lvl>
  </w:abstractNum>
  <w:abstractNum w:abstractNumId="38">
    <w:nsid w:val="7DEC2089"/>
    <w:multiLevelType w:val="singleLevel"/>
    <w:tmpl w:val="7DEC2089"/>
    <w:lvl w:ilvl="0" w:tentative="0">
      <w:start w:val="0"/>
      <w:numFmt w:val="bullet"/>
      <w:lvlText w:val="￮"/>
      <w:lvlJc w:val="left"/>
      <w:rPr>
        <w:color w:val="3370FF"/>
      </w:rPr>
    </w:lvl>
  </w:abstractNum>
  <w:num w:numId="1">
    <w:abstractNumId w:val="16"/>
  </w:num>
  <w:num w:numId="2">
    <w:abstractNumId w:val="10"/>
  </w:num>
  <w:num w:numId="3">
    <w:abstractNumId w:val="31"/>
  </w:num>
  <w:num w:numId="4">
    <w:abstractNumId w:val="8"/>
  </w:num>
  <w:num w:numId="5">
    <w:abstractNumId w:val="6"/>
  </w:num>
  <w:num w:numId="6">
    <w:abstractNumId w:val="18"/>
  </w:num>
  <w:num w:numId="7">
    <w:abstractNumId w:val="22"/>
  </w:num>
  <w:num w:numId="8">
    <w:abstractNumId w:val="35"/>
  </w:num>
  <w:num w:numId="9">
    <w:abstractNumId w:val="17"/>
  </w:num>
  <w:num w:numId="10">
    <w:abstractNumId w:val="2"/>
  </w:num>
  <w:num w:numId="11">
    <w:abstractNumId w:val="23"/>
  </w:num>
  <w:num w:numId="12">
    <w:abstractNumId w:val="32"/>
  </w:num>
  <w:num w:numId="13">
    <w:abstractNumId w:val="9"/>
  </w:num>
  <w:num w:numId="14">
    <w:abstractNumId w:val="28"/>
  </w:num>
  <w:num w:numId="15">
    <w:abstractNumId w:val="14"/>
  </w:num>
  <w:num w:numId="16">
    <w:abstractNumId w:val="21"/>
  </w:num>
  <w:num w:numId="17">
    <w:abstractNumId w:val="12"/>
  </w:num>
  <w:num w:numId="18">
    <w:abstractNumId w:val="11"/>
  </w:num>
  <w:num w:numId="19">
    <w:abstractNumId w:val="4"/>
  </w:num>
  <w:num w:numId="20">
    <w:abstractNumId w:val="27"/>
  </w:num>
  <w:num w:numId="21">
    <w:abstractNumId w:val="33"/>
  </w:num>
  <w:num w:numId="22">
    <w:abstractNumId w:val="19"/>
  </w:num>
  <w:num w:numId="23">
    <w:abstractNumId w:val="26"/>
  </w:num>
  <w:num w:numId="24">
    <w:abstractNumId w:val="5"/>
  </w:num>
  <w:num w:numId="25">
    <w:abstractNumId w:val="37"/>
  </w:num>
  <w:num w:numId="26">
    <w:abstractNumId w:val="36"/>
  </w:num>
  <w:num w:numId="27">
    <w:abstractNumId w:val="7"/>
  </w:num>
  <w:num w:numId="28">
    <w:abstractNumId w:val="34"/>
  </w:num>
  <w:num w:numId="29">
    <w:abstractNumId w:val="3"/>
  </w:num>
  <w:num w:numId="30">
    <w:abstractNumId w:val="25"/>
  </w:num>
  <w:num w:numId="31">
    <w:abstractNumId w:val="1"/>
  </w:num>
  <w:num w:numId="32">
    <w:abstractNumId w:val="30"/>
  </w:num>
  <w:num w:numId="33">
    <w:abstractNumId w:val="38"/>
  </w:num>
  <w:num w:numId="34">
    <w:abstractNumId w:val="0"/>
  </w:num>
  <w:num w:numId="35">
    <w:abstractNumId w:val="20"/>
  </w:num>
  <w:num w:numId="36">
    <w:abstractNumId w:val="29"/>
  </w:num>
  <w:num w:numId="37">
    <w:abstractNumId w:val="15"/>
  </w:num>
  <w:num w:numId="38">
    <w:abstractNumId w:val="1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30306A65"/>
    <w:rsid w:val="43AA5013"/>
    <w:rsid w:val="4ED54C66"/>
    <w:rsid w:val="5D070159"/>
    <w:rsid w:val="5FFA2985"/>
    <w:rsid w:val="791A26BE"/>
    <w:rsid w:val="7C1316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TotalTime>0</TotalTime>
  <ScaleCrop>false</ScaleCrop>
  <LinksUpToDate>false</LinksUpToDate>
  <Application>WPS Office_12.8.2.20324_F1E327BC-269C-435d-A152-05C5408002CA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2026-01-28T02:18:00Z</dcterms:created>
  <dc:creator>Apache POI</dc:creator>
  <cp:lastModifiedBy>Administrator</cp:lastModifiedBy>
  <dcterms:modified xsi:type="dcterms:W3CDTF">2026-01-28T02:26:54Z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22D7CA5E877D4FAFA5B9AE533B05B0BE_12</vt:lpwstr>
  </property>
</Properties>
</file>