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41D1F">
      <w:pPr>
        <w:spacing w:before="480" w:after="480" w:line="288" w:lineRule="auto"/>
        <w:ind w:left="0"/>
        <w:jc w:val="center"/>
      </w:pPr>
      <w:r>
        <w:rPr>
          <w:rFonts w:ascii="Arial" w:hAnsi="Arial" w:eastAsia="等线" w:cs="Arial"/>
          <w:b/>
          <w:sz w:val="52"/>
        </w:rPr>
        <w:t>民族宗教局执法案卷评查制度</w:t>
      </w:r>
    </w:p>
    <w:p w14:paraId="7A78FD16">
      <w:pPr>
        <w:spacing w:before="320" w:after="120" w:line="288" w:lineRule="auto"/>
        <w:ind w:left="0"/>
        <w:jc w:val="center"/>
        <w:outlineLvl w:val="1"/>
      </w:pPr>
      <w:bookmarkStart w:id="0" w:name="heading_0"/>
      <w:r>
        <w:rPr>
          <w:rFonts w:ascii="Arial" w:hAnsi="Arial" w:eastAsia="等线" w:cs="Arial"/>
          <w:b/>
          <w:sz w:val="32"/>
        </w:rPr>
        <w:t>第一章 总则</w:t>
      </w:r>
      <w:bookmarkEnd w:id="0"/>
    </w:p>
    <w:p w14:paraId="45E9BD22">
      <w:pPr>
        <w:spacing w:before="300" w:after="120" w:line="288" w:lineRule="auto"/>
        <w:ind w:left="0"/>
        <w:jc w:val="left"/>
        <w:outlineLvl w:val="2"/>
      </w:pPr>
      <w:bookmarkStart w:id="1" w:name="heading_1"/>
      <w:r>
        <w:rPr>
          <w:rFonts w:ascii="Arial" w:hAnsi="Arial" w:eastAsia="等线" w:cs="Arial"/>
          <w:b/>
          <w:sz w:val="30"/>
        </w:rPr>
        <w:t>第一条 制定目的</w:t>
      </w:r>
      <w:bookmarkEnd w:id="1"/>
    </w:p>
    <w:p w14:paraId="13D0E08D">
      <w:pPr>
        <w:spacing w:before="120" w:after="120" w:line="288" w:lineRule="auto"/>
        <w:ind w:left="0"/>
        <w:jc w:val="left"/>
      </w:pPr>
      <w:r>
        <w:rPr>
          <w:rFonts w:ascii="Arial" w:hAnsi="Arial" w:eastAsia="等线" w:cs="Arial"/>
          <w:sz w:val="22"/>
        </w:rPr>
        <w:t>为深入推进严格规范公正文明执法，加强民族宗教行政执法监督，统一执法案卷评查标准，提升执法案卷质量，规范执法行为，保障公民、法人和其他组织的合法权益，根据《中华人民共和国行政处罚法》《中华人民共和国行政许可法》《宗教事务条例》《行政执法案卷评查办法》等法律法规及相关规定，结合民族宗教行政执法工作实际，制定本制度。</w:t>
      </w:r>
    </w:p>
    <w:p w14:paraId="759555CE">
      <w:pPr>
        <w:spacing w:before="300" w:after="120" w:line="288" w:lineRule="auto"/>
        <w:ind w:left="0"/>
        <w:jc w:val="left"/>
        <w:outlineLvl w:val="2"/>
      </w:pPr>
      <w:bookmarkStart w:id="2" w:name="heading_2"/>
      <w:r>
        <w:rPr>
          <w:rFonts w:ascii="Arial" w:hAnsi="Arial" w:eastAsia="等线" w:cs="Arial"/>
          <w:b/>
          <w:sz w:val="30"/>
        </w:rPr>
        <w:t>第二条 适用范围</w:t>
      </w:r>
      <w:bookmarkEnd w:id="2"/>
    </w:p>
    <w:p w14:paraId="4F6712F1">
      <w:pPr>
        <w:spacing w:before="120" w:after="120" w:line="288" w:lineRule="auto"/>
        <w:ind w:left="0"/>
        <w:jc w:val="left"/>
      </w:pPr>
      <w:r>
        <w:rPr>
          <w:rFonts w:ascii="Arial" w:hAnsi="Arial" w:eastAsia="等线" w:cs="Arial"/>
          <w:sz w:val="22"/>
        </w:rPr>
        <w:t>本制度适用于各级民族宗教事务部门（以下简称“民宗部门”）在实施行政处罚、行政许可、行政强制、行政检查等行政执法行为过程中形成的全部案卷的评查工作。参与民族宗教行政执法的受委托组织、执法人员及案卷评查相关工作人员，均应遵守本制度。</w:t>
      </w:r>
    </w:p>
    <w:p w14:paraId="0AADF469">
      <w:pPr>
        <w:spacing w:before="300" w:after="120" w:line="288" w:lineRule="auto"/>
        <w:ind w:left="0"/>
        <w:jc w:val="left"/>
        <w:outlineLvl w:val="2"/>
      </w:pPr>
      <w:bookmarkStart w:id="3" w:name="heading_3"/>
      <w:r>
        <w:rPr>
          <w:rFonts w:ascii="Arial" w:hAnsi="Arial" w:eastAsia="等线" w:cs="Arial"/>
          <w:b/>
          <w:sz w:val="30"/>
        </w:rPr>
        <w:t>第三条 核心原则</w:t>
      </w:r>
      <w:bookmarkEnd w:id="3"/>
    </w:p>
    <w:p w14:paraId="75E62EC0">
      <w:pPr>
        <w:numPr>
          <w:ilvl w:val="0"/>
          <w:numId w:val="1"/>
        </w:numPr>
        <w:spacing w:before="120" w:after="120" w:line="288" w:lineRule="auto"/>
        <w:ind w:left="0"/>
        <w:jc w:val="left"/>
      </w:pPr>
      <w:r>
        <w:rPr>
          <w:rFonts w:ascii="Arial" w:hAnsi="Arial" w:eastAsia="等线" w:cs="Arial"/>
          <w:sz w:val="22"/>
        </w:rPr>
        <w:t>依法依规原则：评查工作严格依据现行法律、法规、规章及行政执法相关制度开展，确保评查标准合法、程序合规、结果公正；</w:t>
      </w:r>
    </w:p>
    <w:p w14:paraId="6E3E3140">
      <w:pPr>
        <w:numPr>
          <w:ilvl w:val="0"/>
          <w:numId w:val="2"/>
        </w:numPr>
        <w:spacing w:before="120" w:after="120" w:line="288" w:lineRule="auto"/>
        <w:ind w:left="0"/>
        <w:jc w:val="left"/>
      </w:pPr>
      <w:r>
        <w:rPr>
          <w:rFonts w:ascii="Arial" w:hAnsi="Arial" w:eastAsia="等线" w:cs="Arial"/>
          <w:sz w:val="22"/>
        </w:rPr>
        <w:t>客观公正原则：以案卷材料为唯一依据，不受外部因素干扰，评查标准统一、流程透明，保障不同执法主体、不同类型案卷的评查公平性；</w:t>
      </w:r>
    </w:p>
    <w:p w14:paraId="3002F06E">
      <w:pPr>
        <w:numPr>
          <w:ilvl w:val="0"/>
          <w:numId w:val="3"/>
        </w:numPr>
        <w:spacing w:before="120" w:after="120" w:line="288" w:lineRule="auto"/>
        <w:ind w:left="0"/>
        <w:jc w:val="left"/>
      </w:pPr>
      <w:r>
        <w:rPr>
          <w:rFonts w:ascii="Arial" w:hAnsi="Arial" w:eastAsia="等线" w:cs="Arial"/>
          <w:sz w:val="22"/>
        </w:rPr>
        <w:t>实体与程序并重原则：既要审查执法行为的事实认定、法律适用等实体合法性，也要严格核查执法流程、文书制作等程序规范性；</w:t>
      </w:r>
    </w:p>
    <w:p w14:paraId="5EE38828">
      <w:pPr>
        <w:numPr>
          <w:ilvl w:val="0"/>
          <w:numId w:val="4"/>
        </w:numPr>
        <w:spacing w:before="120" w:after="120" w:line="288" w:lineRule="auto"/>
        <w:ind w:left="0"/>
        <w:jc w:val="left"/>
      </w:pPr>
      <w:r>
        <w:rPr>
          <w:rFonts w:ascii="Arial" w:hAnsi="Arial" w:eastAsia="等线" w:cs="Arial"/>
          <w:sz w:val="22"/>
        </w:rPr>
        <w:t>评查与整改结合原则：坚持以评促改、以评促优，通过评查发现执法薄弱环节，建立问题整改机制，推动执法质量持续提升；</w:t>
      </w:r>
    </w:p>
    <w:p w14:paraId="74C3E6D2">
      <w:pPr>
        <w:numPr>
          <w:ilvl w:val="0"/>
          <w:numId w:val="5"/>
        </w:numPr>
        <w:spacing w:before="120" w:after="120" w:line="288" w:lineRule="auto"/>
        <w:ind w:left="0"/>
        <w:jc w:val="left"/>
      </w:pPr>
      <w:r>
        <w:rPr>
          <w:rFonts w:ascii="Arial" w:hAnsi="Arial" w:eastAsia="等线" w:cs="Arial"/>
          <w:sz w:val="22"/>
        </w:rPr>
        <w:t>层级监督与内部自律结合原则：构建上级民宗部门监督指导、本级部门自查自纠的双重评查体系，强化执法责任落实。</w:t>
      </w:r>
    </w:p>
    <w:p w14:paraId="660D3045">
      <w:pPr>
        <w:spacing w:before="300" w:after="120" w:line="288" w:lineRule="auto"/>
        <w:ind w:left="0"/>
        <w:jc w:val="left"/>
        <w:outlineLvl w:val="2"/>
      </w:pPr>
      <w:bookmarkStart w:id="4" w:name="heading_4"/>
      <w:r>
        <w:rPr>
          <w:rFonts w:ascii="Arial" w:hAnsi="Arial" w:eastAsia="等线" w:cs="Arial"/>
          <w:b/>
          <w:sz w:val="30"/>
        </w:rPr>
        <w:t>第四条 评查主体与职责</w:t>
      </w:r>
      <w:bookmarkEnd w:id="4"/>
    </w:p>
    <w:p w14:paraId="078C6C37">
      <w:pPr>
        <w:numPr>
          <w:ilvl w:val="0"/>
          <w:numId w:val="6"/>
        </w:numPr>
        <w:spacing w:before="120" w:after="120" w:line="288" w:lineRule="auto"/>
        <w:ind w:left="0"/>
        <w:jc w:val="left"/>
      </w:pPr>
      <w:r>
        <w:rPr>
          <w:rFonts w:ascii="Arial" w:hAnsi="Arial" w:eastAsia="等线" w:cs="Arial"/>
          <w:sz w:val="22"/>
        </w:rPr>
        <w:t>评查组织：本级民宗部门法制工作机构为案卷评查工作牵头单位，联合纪检监察、办公室等部门组成评查小组；必要时可邀请法律专家、业务骨干或上级部门人员参与评查，提升评查专业性；</w:t>
      </w:r>
    </w:p>
    <w:p w14:paraId="1277D217">
      <w:pPr>
        <w:numPr>
          <w:ilvl w:val="0"/>
          <w:numId w:val="7"/>
        </w:numPr>
        <w:spacing w:before="120" w:after="120" w:line="288" w:lineRule="auto"/>
        <w:ind w:left="0"/>
        <w:jc w:val="left"/>
      </w:pPr>
      <w:r>
        <w:rPr>
          <w:rFonts w:ascii="Arial" w:hAnsi="Arial" w:eastAsia="等线" w:cs="Arial"/>
          <w:sz w:val="22"/>
        </w:rPr>
        <w:t>评查小组职责：制定年度评查计划、明确评查范围和标准，组织开展案卷调阅、审查、打分，形成评查意见，督促问题整改，汇总评查结果并上报备案。</w:t>
      </w:r>
    </w:p>
    <w:p w14:paraId="52BD3149">
      <w:pPr>
        <w:spacing w:before="320" w:after="120" w:line="288" w:lineRule="auto"/>
        <w:ind w:left="0"/>
        <w:jc w:val="center"/>
        <w:outlineLvl w:val="1"/>
      </w:pPr>
      <w:bookmarkStart w:id="5" w:name="heading_5"/>
      <w:r>
        <w:rPr>
          <w:rFonts w:ascii="Arial" w:hAnsi="Arial" w:eastAsia="等线" w:cs="Arial"/>
          <w:b/>
          <w:sz w:val="32"/>
        </w:rPr>
        <w:t>第二章 评查范围与周期</w:t>
      </w:r>
      <w:bookmarkEnd w:id="5"/>
    </w:p>
    <w:p w14:paraId="2F4A0871">
      <w:pPr>
        <w:spacing w:before="300" w:after="120" w:line="288" w:lineRule="auto"/>
        <w:ind w:left="0"/>
        <w:jc w:val="left"/>
        <w:outlineLvl w:val="2"/>
      </w:pPr>
      <w:bookmarkStart w:id="6" w:name="heading_6"/>
      <w:r>
        <w:rPr>
          <w:rFonts w:ascii="Arial" w:hAnsi="Arial" w:eastAsia="等线" w:cs="Arial"/>
          <w:b/>
          <w:sz w:val="30"/>
        </w:rPr>
        <w:t>第五条 评查范围</w:t>
      </w:r>
      <w:bookmarkEnd w:id="6"/>
    </w:p>
    <w:p w14:paraId="1A5CF68A">
      <w:pPr>
        <w:numPr>
          <w:ilvl w:val="0"/>
          <w:numId w:val="8"/>
        </w:numPr>
        <w:spacing w:before="120" w:after="120" w:line="288" w:lineRule="auto"/>
        <w:ind w:left="0"/>
        <w:jc w:val="left"/>
      </w:pPr>
      <w:r>
        <w:rPr>
          <w:rFonts w:ascii="Arial" w:hAnsi="Arial" w:eastAsia="等线" w:cs="Arial"/>
          <w:sz w:val="22"/>
        </w:rPr>
        <w:t>时间范围：上一年度7月1日至本年度6月30日期间已办结并归档的行政执法案卷；特殊情况下可根据工作需要扩大评查时间范围；</w:t>
      </w:r>
    </w:p>
    <w:p w14:paraId="64D591A4">
      <w:pPr>
        <w:numPr>
          <w:ilvl w:val="0"/>
          <w:numId w:val="9"/>
        </w:numPr>
        <w:spacing w:before="120" w:after="120" w:line="288" w:lineRule="auto"/>
        <w:ind w:left="0"/>
        <w:jc w:val="left"/>
      </w:pPr>
      <w:r>
        <w:rPr>
          <w:rFonts w:ascii="Arial" w:hAnsi="Arial" w:eastAsia="等线" w:cs="Arial"/>
          <w:sz w:val="22"/>
        </w:rPr>
        <w:t>案卷类型：包括行政处罚案卷、行政许可案卷、行政强制案卷、行政检查案卷及其他涉及民族宗教事务的行政执法案卷；</w:t>
      </w:r>
    </w:p>
    <w:p w14:paraId="78B1A76C">
      <w:pPr>
        <w:numPr>
          <w:ilvl w:val="0"/>
          <w:numId w:val="10"/>
        </w:numPr>
        <w:spacing w:before="120" w:after="120" w:line="288" w:lineRule="auto"/>
        <w:ind w:left="0"/>
        <w:jc w:val="left"/>
      </w:pPr>
      <w:r>
        <w:rPr>
          <w:rFonts w:ascii="Arial" w:hAnsi="Arial" w:eastAsia="等线" w:cs="Arial"/>
          <w:sz w:val="22"/>
        </w:rPr>
        <w:t>案卷形式：涵盖纸质案卷、电子案卷及音像记录等配套材料，电子案卷应与纸质案卷内容一致，符合电子档案管理规范。</w:t>
      </w:r>
    </w:p>
    <w:p w14:paraId="55C49F7D">
      <w:pPr>
        <w:spacing w:before="300" w:after="120" w:line="288" w:lineRule="auto"/>
        <w:ind w:left="0"/>
        <w:jc w:val="left"/>
        <w:outlineLvl w:val="2"/>
      </w:pPr>
      <w:bookmarkStart w:id="7" w:name="heading_7"/>
      <w:r>
        <w:rPr>
          <w:rFonts w:ascii="Arial" w:hAnsi="Arial" w:eastAsia="等线" w:cs="Arial"/>
          <w:b/>
          <w:sz w:val="30"/>
        </w:rPr>
        <w:t>第六条 评查周期</w:t>
      </w:r>
      <w:bookmarkEnd w:id="7"/>
    </w:p>
    <w:p w14:paraId="44810A19">
      <w:pPr>
        <w:numPr>
          <w:ilvl w:val="0"/>
          <w:numId w:val="11"/>
        </w:numPr>
        <w:spacing w:before="120" w:after="120" w:line="288" w:lineRule="auto"/>
        <w:ind w:left="0"/>
        <w:jc w:val="left"/>
      </w:pPr>
      <w:r>
        <w:rPr>
          <w:rFonts w:ascii="Arial" w:hAnsi="Arial" w:eastAsia="等线" w:cs="Arial"/>
          <w:sz w:val="22"/>
        </w:rPr>
        <w:t>自查自评：各级民宗部门每半年开展一次内部自查，实现案卷自查全覆盖，形成自查报告及问题清单；</w:t>
      </w:r>
    </w:p>
    <w:p w14:paraId="042F946D">
      <w:pPr>
        <w:numPr>
          <w:ilvl w:val="0"/>
          <w:numId w:val="12"/>
        </w:numPr>
        <w:spacing w:before="120" w:after="120" w:line="288" w:lineRule="auto"/>
        <w:ind w:left="0"/>
        <w:jc w:val="left"/>
      </w:pPr>
      <w:r>
        <w:rPr>
          <w:rFonts w:ascii="Arial" w:hAnsi="Arial" w:eastAsia="等线" w:cs="Arial"/>
          <w:sz w:val="22"/>
        </w:rPr>
        <w:t>互查互评：市级以上民宗部门每年组织一次跨区域或系统内互查，抽选一定比例案卷进行交叉评查；</w:t>
      </w:r>
    </w:p>
    <w:p w14:paraId="00F60BF7">
      <w:pPr>
        <w:numPr>
          <w:ilvl w:val="0"/>
          <w:numId w:val="13"/>
        </w:numPr>
        <w:spacing w:before="120" w:after="120" w:line="288" w:lineRule="auto"/>
        <w:ind w:left="0"/>
        <w:jc w:val="left"/>
      </w:pPr>
      <w:r>
        <w:rPr>
          <w:rFonts w:ascii="Arial" w:hAnsi="Arial" w:eastAsia="等线" w:cs="Arial"/>
          <w:sz w:val="22"/>
        </w:rPr>
        <w:t>抽查督导：上级民宗部门结合法治政府建设考核，每年对下级部门开展一次随机抽查，抽查比例不低于当年办结案卷总数的30%。</w:t>
      </w:r>
    </w:p>
    <w:p w14:paraId="6519B517">
      <w:pPr>
        <w:spacing w:before="320" w:after="120" w:line="288" w:lineRule="auto"/>
        <w:ind w:left="0"/>
        <w:jc w:val="center"/>
        <w:outlineLvl w:val="1"/>
      </w:pPr>
      <w:bookmarkStart w:id="8" w:name="heading_8"/>
      <w:r>
        <w:rPr>
          <w:rFonts w:ascii="Arial" w:hAnsi="Arial" w:eastAsia="等线" w:cs="Arial"/>
          <w:b/>
          <w:sz w:val="32"/>
        </w:rPr>
        <w:t>第三章 评查标准与评分细则</w:t>
      </w:r>
      <w:bookmarkEnd w:id="8"/>
    </w:p>
    <w:p w14:paraId="473825E0">
      <w:pPr>
        <w:spacing w:before="300" w:after="120" w:line="288" w:lineRule="auto"/>
        <w:ind w:left="0"/>
        <w:jc w:val="left"/>
        <w:outlineLvl w:val="2"/>
      </w:pPr>
      <w:bookmarkStart w:id="9" w:name="heading_9"/>
      <w:r>
        <w:rPr>
          <w:rFonts w:ascii="Arial" w:hAnsi="Arial" w:eastAsia="等线" w:cs="Arial"/>
          <w:b/>
          <w:sz w:val="30"/>
        </w:rPr>
        <w:t>第七条 评查内容框架</w:t>
      </w:r>
      <w:bookmarkEnd w:id="9"/>
    </w:p>
    <w:p w14:paraId="7196D493">
      <w:pPr>
        <w:spacing w:before="120" w:after="120" w:line="288" w:lineRule="auto"/>
        <w:ind w:left="0"/>
        <w:jc w:val="left"/>
      </w:pPr>
      <w:r>
        <w:rPr>
          <w:rFonts w:ascii="Arial" w:hAnsi="Arial" w:eastAsia="等线" w:cs="Arial"/>
          <w:sz w:val="22"/>
        </w:rPr>
        <w:t>案卷评查实行百分制，分为</w:t>
      </w:r>
      <w:r>
        <w:rPr>
          <w:rFonts w:ascii="Arial" w:hAnsi="Arial" w:eastAsia="等线" w:cs="Arial"/>
          <w:b/>
          <w:sz w:val="22"/>
        </w:rPr>
        <w:t>基本要素审查</w:t>
      </w:r>
      <w:r>
        <w:rPr>
          <w:rFonts w:ascii="Arial" w:hAnsi="Arial" w:eastAsia="等线" w:cs="Arial"/>
          <w:sz w:val="22"/>
        </w:rPr>
        <w:t>（一票否决项）和</w:t>
      </w:r>
      <w:r>
        <w:rPr>
          <w:rFonts w:ascii="Arial" w:hAnsi="Arial" w:eastAsia="等线" w:cs="Arial"/>
          <w:b/>
          <w:sz w:val="22"/>
        </w:rPr>
        <w:t>一般要素审查</w:t>
      </w:r>
      <w:r>
        <w:rPr>
          <w:rFonts w:ascii="Arial" w:hAnsi="Arial" w:eastAsia="等线" w:cs="Arial"/>
          <w:sz w:val="22"/>
        </w:rPr>
        <w:t>（计分扣分项），具体涵盖执法主体、事实证据、法律适用、执法程序、文书制作、案卷归档六大类内容。</w:t>
      </w:r>
    </w:p>
    <w:p w14:paraId="6C3DC7CC">
      <w:pPr>
        <w:spacing w:before="300" w:after="120" w:line="288" w:lineRule="auto"/>
        <w:ind w:left="0"/>
        <w:jc w:val="left"/>
        <w:outlineLvl w:val="2"/>
      </w:pPr>
      <w:bookmarkStart w:id="10" w:name="heading_10"/>
      <w:r>
        <w:rPr>
          <w:rFonts w:ascii="Arial" w:hAnsi="Arial" w:eastAsia="等线" w:cs="Arial"/>
          <w:b/>
          <w:sz w:val="30"/>
        </w:rPr>
        <w:t>第八条 基本要素审查（一票否决）</w:t>
      </w:r>
      <w:bookmarkEnd w:id="10"/>
    </w:p>
    <w:p w14:paraId="720B7F60">
      <w:pPr>
        <w:spacing w:before="120" w:after="120" w:line="288" w:lineRule="auto"/>
        <w:ind w:left="0"/>
        <w:jc w:val="left"/>
      </w:pPr>
      <w:r>
        <w:rPr>
          <w:rFonts w:ascii="Arial" w:hAnsi="Arial" w:eastAsia="等线" w:cs="Arial"/>
          <w:sz w:val="22"/>
        </w:rPr>
        <w:t>存在下列情形之一的，案卷直接判定为不合格，评分为零：</w:t>
      </w:r>
    </w:p>
    <w:p w14:paraId="4F993EE2">
      <w:pPr>
        <w:numPr>
          <w:ilvl w:val="0"/>
          <w:numId w:val="14"/>
        </w:numPr>
        <w:spacing w:before="120" w:after="120" w:line="288" w:lineRule="auto"/>
        <w:ind w:left="0"/>
        <w:jc w:val="left"/>
      </w:pPr>
      <w:r>
        <w:rPr>
          <w:rFonts w:ascii="Arial" w:hAnsi="Arial" w:eastAsia="等线" w:cs="Arial"/>
          <w:sz w:val="22"/>
        </w:rPr>
        <w:t>执法主体无法定资格或超越法定职权实施执法行为的；</w:t>
      </w:r>
    </w:p>
    <w:p w14:paraId="75B7B417">
      <w:pPr>
        <w:numPr>
          <w:ilvl w:val="0"/>
          <w:numId w:val="15"/>
        </w:numPr>
        <w:spacing w:before="120" w:after="120" w:line="288" w:lineRule="auto"/>
        <w:ind w:left="0"/>
        <w:jc w:val="left"/>
      </w:pPr>
      <w:r>
        <w:rPr>
          <w:rFonts w:ascii="Arial" w:hAnsi="Arial" w:eastAsia="等线" w:cs="Arial"/>
          <w:sz w:val="22"/>
        </w:rPr>
        <w:t>执法人员未取得行政执法资格或未按规定两名以上执法人员共同执法的；</w:t>
      </w:r>
    </w:p>
    <w:p w14:paraId="322C6DE0">
      <w:pPr>
        <w:numPr>
          <w:ilvl w:val="0"/>
          <w:numId w:val="16"/>
        </w:numPr>
        <w:spacing w:before="120" w:after="120" w:line="288" w:lineRule="auto"/>
        <w:ind w:left="0"/>
        <w:jc w:val="left"/>
      </w:pPr>
      <w:r>
        <w:rPr>
          <w:rFonts w:ascii="Arial" w:hAnsi="Arial" w:eastAsia="等线" w:cs="Arial"/>
          <w:sz w:val="22"/>
        </w:rPr>
        <w:t>主要事实认定不清、证据不足，或关键证据采集程序违法导致无效的；</w:t>
      </w:r>
    </w:p>
    <w:p w14:paraId="0634AA0D">
      <w:pPr>
        <w:numPr>
          <w:ilvl w:val="0"/>
          <w:numId w:val="17"/>
        </w:numPr>
        <w:spacing w:before="120" w:after="120" w:line="288" w:lineRule="auto"/>
        <w:ind w:left="0"/>
        <w:jc w:val="left"/>
      </w:pPr>
      <w:r>
        <w:rPr>
          <w:rFonts w:ascii="Arial" w:hAnsi="Arial" w:eastAsia="等线" w:cs="Arial"/>
          <w:sz w:val="22"/>
        </w:rPr>
        <w:t>适用法律依据错误、失效或未引用具体条款的；</w:t>
      </w:r>
    </w:p>
    <w:p w14:paraId="166F1E8B">
      <w:pPr>
        <w:numPr>
          <w:ilvl w:val="0"/>
          <w:numId w:val="18"/>
        </w:numPr>
        <w:spacing w:before="120" w:after="120" w:line="288" w:lineRule="auto"/>
        <w:ind w:left="0"/>
        <w:jc w:val="left"/>
      </w:pPr>
      <w:r>
        <w:rPr>
          <w:rFonts w:ascii="Arial" w:hAnsi="Arial" w:eastAsia="等线" w:cs="Arial"/>
          <w:sz w:val="22"/>
        </w:rPr>
        <w:t>严重违反法定程序，如未履行告知义务、听证程序缺失、程序倒置等，可能导致行政行为被撤销或确认违法的；</w:t>
      </w:r>
    </w:p>
    <w:p w14:paraId="095A22A8">
      <w:pPr>
        <w:numPr>
          <w:ilvl w:val="0"/>
          <w:numId w:val="19"/>
        </w:numPr>
        <w:spacing w:before="120" w:after="120" w:line="288" w:lineRule="auto"/>
        <w:ind w:left="0"/>
        <w:jc w:val="left"/>
      </w:pPr>
      <w:r>
        <w:rPr>
          <w:rFonts w:ascii="Arial" w:hAnsi="Arial" w:eastAsia="等线" w:cs="Arial"/>
          <w:sz w:val="22"/>
        </w:rPr>
        <w:t>行政执法决定书未加盖本机关公章或加盖非法定主体印章的；</w:t>
      </w:r>
    </w:p>
    <w:p w14:paraId="34B46F37">
      <w:pPr>
        <w:numPr>
          <w:ilvl w:val="0"/>
          <w:numId w:val="20"/>
        </w:numPr>
        <w:spacing w:before="120" w:after="120" w:line="288" w:lineRule="auto"/>
        <w:ind w:left="0"/>
        <w:jc w:val="left"/>
      </w:pPr>
      <w:r>
        <w:rPr>
          <w:rFonts w:ascii="Arial" w:hAnsi="Arial" w:eastAsia="等线" w:cs="Arial"/>
          <w:sz w:val="22"/>
        </w:rPr>
        <w:t>被处罚（许可）主体身份认定错误或与实际执行主体不一致且无合法理由的；</w:t>
      </w:r>
    </w:p>
    <w:p w14:paraId="6E7C4AD9">
      <w:pPr>
        <w:numPr>
          <w:ilvl w:val="0"/>
          <w:numId w:val="21"/>
        </w:numPr>
        <w:spacing w:before="120" w:after="120" w:line="288" w:lineRule="auto"/>
        <w:ind w:left="0"/>
        <w:jc w:val="left"/>
      </w:pPr>
      <w:r>
        <w:rPr>
          <w:rFonts w:ascii="Arial" w:hAnsi="Arial" w:eastAsia="等线" w:cs="Arial"/>
          <w:sz w:val="22"/>
        </w:rPr>
        <w:t>伪造、篡改案卷材料或编造执法文书的。</w:t>
      </w:r>
    </w:p>
    <w:p w14:paraId="5A2470A6">
      <w:pPr>
        <w:spacing w:before="300" w:after="120" w:line="288" w:lineRule="auto"/>
        <w:ind w:left="0"/>
        <w:jc w:val="center"/>
        <w:outlineLvl w:val="2"/>
      </w:pPr>
      <w:bookmarkStart w:id="11" w:name="heading_11"/>
      <w:r>
        <w:rPr>
          <w:rFonts w:ascii="Arial" w:hAnsi="Arial" w:eastAsia="等线" w:cs="Arial"/>
          <w:b/>
          <w:sz w:val="30"/>
        </w:rPr>
        <w:t>第九条 一般要素审查（计分标准）</w:t>
      </w:r>
      <w:bookmarkEnd w:id="11"/>
    </w:p>
    <w:p w14:paraId="30C6C86F">
      <w:pPr>
        <w:spacing w:before="260" w:after="120" w:line="288" w:lineRule="auto"/>
        <w:ind w:left="0"/>
        <w:jc w:val="left"/>
        <w:outlineLvl w:val="3"/>
      </w:pPr>
      <w:bookmarkStart w:id="12" w:name="heading_12"/>
      <w:r>
        <w:rPr>
          <w:rFonts w:ascii="Arial" w:hAnsi="Arial" w:eastAsia="等线" w:cs="Arial"/>
          <w:b/>
          <w:sz w:val="28"/>
        </w:rPr>
        <w:t>（一）执法主体规范（10分）</w:t>
      </w:r>
      <w:bookmarkEnd w:id="12"/>
    </w:p>
    <w:p w14:paraId="41847931">
      <w:pPr>
        <w:numPr>
          <w:ilvl w:val="0"/>
          <w:numId w:val="22"/>
        </w:numPr>
        <w:spacing w:before="120" w:after="120" w:line="288" w:lineRule="auto"/>
        <w:ind w:left="0"/>
        <w:jc w:val="left"/>
      </w:pPr>
      <w:r>
        <w:rPr>
          <w:rFonts w:ascii="Arial" w:hAnsi="Arial" w:eastAsia="等线" w:cs="Arial"/>
          <w:sz w:val="22"/>
        </w:rPr>
        <w:t>执法主体资格证明材料未附卷的，扣3分；</w:t>
      </w:r>
    </w:p>
    <w:p w14:paraId="2F61BA75">
      <w:pPr>
        <w:numPr>
          <w:ilvl w:val="0"/>
          <w:numId w:val="23"/>
        </w:numPr>
        <w:spacing w:before="120" w:after="120" w:line="288" w:lineRule="auto"/>
        <w:ind w:left="0"/>
        <w:jc w:val="left"/>
      </w:pPr>
      <w:r>
        <w:rPr>
          <w:rFonts w:ascii="Arial" w:hAnsi="Arial" w:eastAsia="等线" w:cs="Arial"/>
          <w:sz w:val="22"/>
        </w:rPr>
        <w:t>执法人员执法证件编号未在文书中注明的，每人次扣2分；</w:t>
      </w:r>
    </w:p>
    <w:p w14:paraId="2F75BF4C">
      <w:pPr>
        <w:numPr>
          <w:ilvl w:val="0"/>
          <w:numId w:val="24"/>
        </w:numPr>
        <w:spacing w:before="120" w:after="120" w:line="288" w:lineRule="auto"/>
        <w:ind w:left="0"/>
        <w:jc w:val="left"/>
      </w:pPr>
      <w:r>
        <w:rPr>
          <w:rFonts w:ascii="Arial" w:hAnsi="Arial" w:eastAsia="等线" w:cs="Arial"/>
          <w:sz w:val="22"/>
        </w:rPr>
        <w:t>委托执法未附合法委托手续的，扣5分。</w:t>
      </w:r>
    </w:p>
    <w:p w14:paraId="6DCEFB82">
      <w:pPr>
        <w:spacing w:before="260" w:after="120" w:line="288" w:lineRule="auto"/>
        <w:ind w:left="0"/>
        <w:jc w:val="left"/>
        <w:outlineLvl w:val="3"/>
      </w:pPr>
      <w:bookmarkStart w:id="13" w:name="heading_13"/>
      <w:r>
        <w:rPr>
          <w:rFonts w:ascii="Arial" w:hAnsi="Arial" w:eastAsia="等线" w:cs="Arial"/>
          <w:b/>
          <w:sz w:val="28"/>
        </w:rPr>
        <w:t>（二）事实证据规范（25分）</w:t>
      </w:r>
      <w:bookmarkEnd w:id="13"/>
    </w:p>
    <w:p w14:paraId="1DBA6A9A">
      <w:pPr>
        <w:numPr>
          <w:ilvl w:val="0"/>
          <w:numId w:val="25"/>
        </w:numPr>
        <w:spacing w:before="120" w:after="120" w:line="288" w:lineRule="auto"/>
        <w:ind w:left="0"/>
        <w:jc w:val="left"/>
      </w:pPr>
      <w:r>
        <w:rPr>
          <w:rFonts w:ascii="Arial" w:hAnsi="Arial" w:eastAsia="等线" w:cs="Arial"/>
          <w:sz w:val="22"/>
        </w:rPr>
        <w:t>违法事实或申请事实描述不清晰，未注明时间、地点、情节等关键要素的，扣5分；</w:t>
      </w:r>
    </w:p>
    <w:p w14:paraId="41824FAB">
      <w:pPr>
        <w:numPr>
          <w:ilvl w:val="0"/>
          <w:numId w:val="26"/>
        </w:numPr>
        <w:spacing w:before="120" w:after="120" w:line="288" w:lineRule="auto"/>
        <w:ind w:left="0"/>
        <w:jc w:val="left"/>
      </w:pPr>
      <w:r>
        <w:rPr>
          <w:rFonts w:ascii="Arial" w:hAnsi="Arial" w:eastAsia="等线" w:cs="Arial"/>
          <w:sz w:val="22"/>
        </w:rPr>
        <w:t>证据材料未形成完整证据链，缺少书证、物证、询问笔录等关键材料的，扣8分；</w:t>
      </w:r>
    </w:p>
    <w:p w14:paraId="1747969B">
      <w:pPr>
        <w:numPr>
          <w:ilvl w:val="0"/>
          <w:numId w:val="27"/>
        </w:numPr>
        <w:spacing w:before="120" w:after="120" w:line="288" w:lineRule="auto"/>
        <w:ind w:left="0"/>
        <w:jc w:val="left"/>
      </w:pPr>
      <w:r>
        <w:rPr>
          <w:rFonts w:ascii="Arial" w:hAnsi="Arial" w:eastAsia="等线" w:cs="Arial"/>
          <w:sz w:val="22"/>
        </w:rPr>
        <w:t>询问笔录、现场检查（勘验）笔录无被询问人、被检查人逐页签名或确认意见的，扣6分；</w:t>
      </w:r>
    </w:p>
    <w:p w14:paraId="5337EC17">
      <w:pPr>
        <w:numPr>
          <w:ilvl w:val="0"/>
          <w:numId w:val="28"/>
        </w:numPr>
        <w:spacing w:before="120" w:after="120" w:line="288" w:lineRule="auto"/>
        <w:ind w:left="0"/>
        <w:jc w:val="left"/>
      </w:pPr>
      <w:r>
        <w:rPr>
          <w:rFonts w:ascii="Arial" w:hAnsi="Arial" w:eastAsia="等线" w:cs="Arial"/>
          <w:sz w:val="22"/>
        </w:rPr>
        <w:t>证据登记保存、调取手续不完整的，扣3分；</w:t>
      </w:r>
    </w:p>
    <w:p w14:paraId="11A0B9B8">
      <w:pPr>
        <w:numPr>
          <w:ilvl w:val="0"/>
          <w:numId w:val="29"/>
        </w:numPr>
        <w:spacing w:before="120" w:after="120" w:line="288" w:lineRule="auto"/>
        <w:ind w:left="0"/>
        <w:jc w:val="left"/>
      </w:pPr>
      <w:r>
        <w:rPr>
          <w:rFonts w:ascii="Arial" w:hAnsi="Arial" w:eastAsia="等线" w:cs="Arial"/>
          <w:sz w:val="22"/>
        </w:rPr>
        <w:t>视听资料未注明录制时间、地点、责任人及存放位置的，每项扣3分。</w:t>
      </w:r>
    </w:p>
    <w:p w14:paraId="39C389C5">
      <w:pPr>
        <w:spacing w:before="260" w:after="120" w:line="288" w:lineRule="auto"/>
        <w:ind w:left="0"/>
        <w:jc w:val="left"/>
        <w:outlineLvl w:val="3"/>
      </w:pPr>
      <w:bookmarkStart w:id="14" w:name="heading_14"/>
      <w:r>
        <w:rPr>
          <w:rFonts w:ascii="Arial" w:hAnsi="Arial" w:eastAsia="等线" w:cs="Arial"/>
          <w:b/>
          <w:sz w:val="28"/>
        </w:rPr>
        <w:t>（三）法律适用规范（20分）</w:t>
      </w:r>
      <w:bookmarkEnd w:id="14"/>
    </w:p>
    <w:p w14:paraId="299625EF">
      <w:pPr>
        <w:numPr>
          <w:ilvl w:val="0"/>
          <w:numId w:val="30"/>
        </w:numPr>
        <w:spacing w:before="120" w:after="120" w:line="288" w:lineRule="auto"/>
        <w:ind w:left="0"/>
        <w:jc w:val="left"/>
      </w:pPr>
      <w:r>
        <w:rPr>
          <w:rFonts w:ascii="Arial" w:hAnsi="Arial" w:eastAsia="等线" w:cs="Arial"/>
          <w:sz w:val="22"/>
        </w:rPr>
        <w:t>引用法律、法规、规章名称不准确或条款错误的，扣8分；</w:t>
      </w:r>
    </w:p>
    <w:p w14:paraId="0B3F4502">
      <w:pPr>
        <w:numPr>
          <w:ilvl w:val="0"/>
          <w:numId w:val="31"/>
        </w:numPr>
        <w:spacing w:before="120" w:after="120" w:line="288" w:lineRule="auto"/>
        <w:ind w:left="0"/>
        <w:jc w:val="left"/>
      </w:pPr>
      <w:r>
        <w:rPr>
          <w:rFonts w:ascii="Arial" w:hAnsi="Arial" w:eastAsia="等线" w:cs="Arial"/>
          <w:sz w:val="22"/>
        </w:rPr>
        <w:t>未适用行政处罚裁量基准或超出基准幅度且无合理说明的，扣6分；</w:t>
      </w:r>
    </w:p>
    <w:p w14:paraId="125D1C48">
      <w:pPr>
        <w:numPr>
          <w:ilvl w:val="0"/>
          <w:numId w:val="32"/>
        </w:numPr>
        <w:spacing w:before="120" w:after="120" w:line="288" w:lineRule="auto"/>
        <w:ind w:left="0"/>
        <w:jc w:val="left"/>
      </w:pPr>
      <w:r>
        <w:rPr>
          <w:rFonts w:ascii="Arial" w:hAnsi="Arial" w:eastAsia="等线" w:cs="Arial"/>
          <w:sz w:val="22"/>
        </w:rPr>
        <w:t>法律条文引用不完整，未明确具体款项的，扣4分；</w:t>
      </w:r>
    </w:p>
    <w:p w14:paraId="7839255D">
      <w:pPr>
        <w:numPr>
          <w:ilvl w:val="0"/>
          <w:numId w:val="33"/>
        </w:numPr>
        <w:spacing w:before="120" w:after="120" w:line="288" w:lineRule="auto"/>
        <w:ind w:left="0"/>
        <w:jc w:val="left"/>
      </w:pPr>
      <w:r>
        <w:rPr>
          <w:rFonts w:ascii="Arial" w:hAnsi="Arial" w:eastAsia="等线" w:cs="Arial"/>
          <w:sz w:val="22"/>
        </w:rPr>
        <w:t>释法说理不充分，未说明处罚（许可）依据与事实关联性的，扣2分。</w:t>
      </w:r>
    </w:p>
    <w:p w14:paraId="0BD2C518">
      <w:pPr>
        <w:spacing w:before="260" w:after="120" w:line="288" w:lineRule="auto"/>
        <w:ind w:left="0"/>
        <w:jc w:val="left"/>
        <w:outlineLvl w:val="3"/>
      </w:pPr>
      <w:bookmarkStart w:id="15" w:name="heading_15"/>
      <w:r>
        <w:rPr>
          <w:rFonts w:ascii="Arial" w:hAnsi="Arial" w:eastAsia="等线" w:cs="Arial"/>
          <w:b/>
          <w:sz w:val="28"/>
        </w:rPr>
        <w:t>（四）执法程序规范（25分）</w:t>
      </w:r>
      <w:bookmarkEnd w:id="15"/>
    </w:p>
    <w:p w14:paraId="66EA8335">
      <w:pPr>
        <w:numPr>
          <w:ilvl w:val="0"/>
          <w:numId w:val="34"/>
        </w:numPr>
        <w:spacing w:before="120" w:after="120" w:line="288" w:lineRule="auto"/>
        <w:ind w:left="0"/>
        <w:jc w:val="left"/>
      </w:pPr>
      <w:r>
        <w:rPr>
          <w:rFonts w:ascii="Arial" w:hAnsi="Arial" w:eastAsia="等线" w:cs="Arial"/>
          <w:sz w:val="22"/>
        </w:rPr>
        <w:t>立案审批、法制审核、集体讨论等程序未履行或无相应文书记录的，每项扣6分；</w:t>
      </w:r>
    </w:p>
    <w:p w14:paraId="0C201C37">
      <w:pPr>
        <w:numPr>
          <w:ilvl w:val="0"/>
          <w:numId w:val="35"/>
        </w:numPr>
        <w:spacing w:before="120" w:after="120" w:line="288" w:lineRule="auto"/>
        <w:ind w:left="0"/>
        <w:jc w:val="left"/>
      </w:pPr>
      <w:r>
        <w:rPr>
          <w:rFonts w:ascii="Arial" w:hAnsi="Arial" w:eastAsia="等线" w:cs="Arial"/>
          <w:sz w:val="22"/>
        </w:rPr>
        <w:t>告知书未载明事实、理由、依据及陈述申辩权利的，扣5分；</w:t>
      </w:r>
    </w:p>
    <w:p w14:paraId="3F9982F9">
      <w:pPr>
        <w:numPr>
          <w:ilvl w:val="0"/>
          <w:numId w:val="36"/>
        </w:numPr>
        <w:spacing w:before="120" w:after="120" w:line="288" w:lineRule="auto"/>
        <w:ind w:left="0"/>
        <w:jc w:val="left"/>
      </w:pPr>
      <w:r>
        <w:rPr>
          <w:rFonts w:ascii="Arial" w:hAnsi="Arial" w:eastAsia="等线" w:cs="Arial"/>
          <w:sz w:val="22"/>
        </w:rPr>
        <w:t>法律文书送达回证缺失或送达方式不符合规定的，扣5分；</w:t>
      </w:r>
    </w:p>
    <w:p w14:paraId="64DA10B7">
      <w:pPr>
        <w:numPr>
          <w:ilvl w:val="0"/>
          <w:numId w:val="37"/>
        </w:numPr>
        <w:spacing w:before="120" w:after="120" w:line="288" w:lineRule="auto"/>
        <w:ind w:left="0"/>
        <w:jc w:val="left"/>
      </w:pPr>
      <w:r>
        <w:rPr>
          <w:rFonts w:ascii="Arial" w:hAnsi="Arial" w:eastAsia="等线" w:cs="Arial"/>
          <w:sz w:val="22"/>
        </w:rPr>
        <w:t>办理时限超出法定或承诺期限且无延期审批手续的，扣4分；</w:t>
      </w:r>
    </w:p>
    <w:p w14:paraId="737F9539">
      <w:pPr>
        <w:numPr>
          <w:ilvl w:val="0"/>
          <w:numId w:val="38"/>
        </w:numPr>
        <w:spacing w:before="120" w:after="120" w:line="288" w:lineRule="auto"/>
        <w:ind w:left="0"/>
        <w:jc w:val="left"/>
      </w:pPr>
      <w:r>
        <w:rPr>
          <w:rFonts w:ascii="Arial" w:hAnsi="Arial" w:eastAsia="等线" w:cs="Arial"/>
          <w:sz w:val="22"/>
        </w:rPr>
        <w:t>行政强制措施未按规定报批或未向当事人送达书面通知的，扣7分；</w:t>
      </w:r>
    </w:p>
    <w:p w14:paraId="5EBFCE22">
      <w:pPr>
        <w:numPr>
          <w:ilvl w:val="0"/>
          <w:numId w:val="39"/>
        </w:numPr>
        <w:spacing w:before="120" w:after="120" w:line="288" w:lineRule="auto"/>
        <w:ind w:left="0"/>
        <w:jc w:val="left"/>
      </w:pPr>
      <w:r>
        <w:rPr>
          <w:rFonts w:ascii="Arial" w:hAnsi="Arial" w:eastAsia="等线" w:cs="Arial"/>
          <w:sz w:val="22"/>
        </w:rPr>
        <w:t>检查计划、检查记录不完整的，扣3分。</w:t>
      </w:r>
    </w:p>
    <w:p w14:paraId="179C42F3">
      <w:pPr>
        <w:spacing w:before="260" w:after="120" w:line="288" w:lineRule="auto"/>
        <w:ind w:left="0"/>
        <w:jc w:val="left"/>
        <w:outlineLvl w:val="3"/>
      </w:pPr>
      <w:bookmarkStart w:id="16" w:name="heading_16"/>
      <w:r>
        <w:rPr>
          <w:rFonts w:ascii="Arial" w:hAnsi="Arial" w:eastAsia="等线" w:cs="Arial"/>
          <w:b/>
          <w:sz w:val="28"/>
        </w:rPr>
        <w:t>（五）文书制作规范（15分）</w:t>
      </w:r>
      <w:bookmarkEnd w:id="16"/>
    </w:p>
    <w:p w14:paraId="7A3FC12E">
      <w:pPr>
        <w:numPr>
          <w:ilvl w:val="0"/>
          <w:numId w:val="40"/>
        </w:numPr>
        <w:spacing w:before="120" w:after="120" w:line="288" w:lineRule="auto"/>
        <w:ind w:left="0"/>
        <w:jc w:val="left"/>
      </w:pPr>
      <w:r>
        <w:rPr>
          <w:rFonts w:ascii="Arial" w:hAnsi="Arial" w:eastAsia="等线" w:cs="Arial"/>
          <w:sz w:val="22"/>
        </w:rPr>
        <w:t>文书格式不统一、要素不全（如缺少日期、签名、印章位置错误）的，每处扣2分；</w:t>
      </w:r>
    </w:p>
    <w:p w14:paraId="1C7B8A95">
      <w:pPr>
        <w:numPr>
          <w:ilvl w:val="0"/>
          <w:numId w:val="41"/>
        </w:numPr>
        <w:spacing w:before="120" w:after="120" w:line="288" w:lineRule="auto"/>
        <w:ind w:left="0"/>
        <w:jc w:val="left"/>
      </w:pPr>
      <w:r>
        <w:rPr>
          <w:rFonts w:ascii="Arial" w:hAnsi="Arial" w:eastAsia="等线" w:cs="Arial"/>
          <w:sz w:val="22"/>
        </w:rPr>
        <w:t>文书内容涂改未按规定进行技术处理（签名、捺印）的，每处扣1分；</w:t>
      </w:r>
    </w:p>
    <w:p w14:paraId="13B95882">
      <w:pPr>
        <w:numPr>
          <w:ilvl w:val="0"/>
          <w:numId w:val="42"/>
        </w:numPr>
        <w:spacing w:before="120" w:after="120" w:line="288" w:lineRule="auto"/>
        <w:ind w:left="0"/>
        <w:jc w:val="left"/>
      </w:pPr>
      <w:r>
        <w:rPr>
          <w:rFonts w:ascii="Arial" w:hAnsi="Arial" w:eastAsia="等线" w:cs="Arial"/>
          <w:sz w:val="22"/>
        </w:rPr>
        <w:t>语言表述不规范、逻辑混乱或存在错别字的，每处扣1分；</w:t>
      </w:r>
    </w:p>
    <w:p w14:paraId="2DDCEAF0">
      <w:pPr>
        <w:numPr>
          <w:ilvl w:val="0"/>
          <w:numId w:val="43"/>
        </w:numPr>
        <w:spacing w:before="120" w:after="120" w:line="288" w:lineRule="auto"/>
        <w:ind w:left="0"/>
        <w:jc w:val="left"/>
      </w:pPr>
      <w:r>
        <w:rPr>
          <w:rFonts w:ascii="Arial" w:hAnsi="Arial" w:eastAsia="等线" w:cs="Arial"/>
          <w:sz w:val="22"/>
        </w:rPr>
        <w:t>文书编号不连续或未按规定标注的，扣3分；</w:t>
      </w:r>
    </w:p>
    <w:p w14:paraId="2C3FA947">
      <w:pPr>
        <w:numPr>
          <w:ilvl w:val="0"/>
          <w:numId w:val="44"/>
        </w:numPr>
        <w:spacing w:before="120" w:after="120" w:line="288" w:lineRule="auto"/>
        <w:ind w:left="0"/>
        <w:jc w:val="left"/>
      </w:pPr>
      <w:r>
        <w:rPr>
          <w:rFonts w:ascii="Arial" w:hAnsi="Arial" w:eastAsia="等线" w:cs="Arial"/>
          <w:sz w:val="22"/>
        </w:rPr>
        <w:t>行政决定书内容与案件调查终结报告、集体讨论记录不一致的，扣5分。</w:t>
      </w:r>
    </w:p>
    <w:p w14:paraId="2955FA69">
      <w:pPr>
        <w:spacing w:before="260" w:after="120" w:line="288" w:lineRule="auto"/>
        <w:ind w:left="0"/>
        <w:jc w:val="left"/>
        <w:outlineLvl w:val="3"/>
      </w:pPr>
      <w:bookmarkStart w:id="17" w:name="heading_17"/>
      <w:r>
        <w:rPr>
          <w:rFonts w:ascii="Arial" w:hAnsi="Arial" w:eastAsia="等线" w:cs="Arial"/>
          <w:b/>
          <w:sz w:val="28"/>
        </w:rPr>
        <w:t>（六）案卷归档规范（10分）</w:t>
      </w:r>
      <w:bookmarkEnd w:id="17"/>
    </w:p>
    <w:p w14:paraId="7338EF3C">
      <w:pPr>
        <w:numPr>
          <w:ilvl w:val="0"/>
          <w:numId w:val="45"/>
        </w:numPr>
        <w:spacing w:before="120" w:after="120" w:line="288" w:lineRule="auto"/>
        <w:ind w:left="0"/>
        <w:jc w:val="left"/>
      </w:pPr>
      <w:r>
        <w:rPr>
          <w:rFonts w:ascii="Arial" w:hAnsi="Arial" w:eastAsia="等线" w:cs="Arial"/>
          <w:sz w:val="22"/>
        </w:rPr>
        <w:t>案卷未按一案一卷、一卷一号整理的，扣4分；</w:t>
      </w:r>
    </w:p>
    <w:p w14:paraId="364BBD92">
      <w:pPr>
        <w:numPr>
          <w:ilvl w:val="0"/>
          <w:numId w:val="46"/>
        </w:numPr>
        <w:spacing w:before="120" w:after="120" w:line="288" w:lineRule="auto"/>
        <w:ind w:left="0"/>
        <w:jc w:val="left"/>
      </w:pPr>
      <w:r>
        <w:rPr>
          <w:rFonts w:ascii="Arial" w:hAnsi="Arial" w:eastAsia="等线" w:cs="Arial"/>
          <w:sz w:val="22"/>
        </w:rPr>
        <w:t>卷内材料排列无序、页码编写错误或缺失的，扣3分；</w:t>
      </w:r>
    </w:p>
    <w:p w14:paraId="7F2A0E04">
      <w:pPr>
        <w:numPr>
          <w:ilvl w:val="0"/>
          <w:numId w:val="47"/>
        </w:numPr>
        <w:spacing w:before="120" w:after="120" w:line="288" w:lineRule="auto"/>
        <w:ind w:left="0"/>
        <w:jc w:val="left"/>
      </w:pPr>
      <w:r>
        <w:rPr>
          <w:rFonts w:ascii="Arial" w:hAnsi="Arial" w:eastAsia="等线" w:cs="Arial"/>
          <w:sz w:val="22"/>
        </w:rPr>
        <w:t>备考表填写不完整，未注明材料份数、缺损情况的，扣2分；</w:t>
      </w:r>
    </w:p>
    <w:p w14:paraId="277D9E80">
      <w:pPr>
        <w:numPr>
          <w:ilvl w:val="0"/>
          <w:numId w:val="48"/>
        </w:numPr>
        <w:spacing w:before="120" w:after="120" w:line="288" w:lineRule="auto"/>
        <w:ind w:left="0"/>
        <w:jc w:val="left"/>
      </w:pPr>
      <w:r>
        <w:rPr>
          <w:rFonts w:ascii="Arial" w:hAnsi="Arial" w:eastAsia="等线" w:cs="Arial"/>
          <w:sz w:val="22"/>
        </w:rPr>
        <w:t>电子案卷与纸质案卷内容不一致或未按规定归档的，扣3分。</w:t>
      </w:r>
    </w:p>
    <w:p w14:paraId="35EC2997">
      <w:pPr>
        <w:spacing w:before="300" w:after="120" w:line="288" w:lineRule="auto"/>
        <w:ind w:left="0"/>
        <w:jc w:val="left"/>
        <w:outlineLvl w:val="2"/>
      </w:pPr>
      <w:bookmarkStart w:id="18" w:name="heading_18"/>
      <w:r>
        <w:rPr>
          <w:rFonts w:ascii="Arial" w:hAnsi="Arial" w:eastAsia="等线" w:cs="Arial"/>
          <w:b/>
          <w:sz w:val="30"/>
        </w:rPr>
        <w:t>第十条 等次划分标准</w:t>
      </w:r>
      <w:bookmarkEnd w:id="18"/>
    </w:p>
    <w:p w14:paraId="4D7847AA">
      <w:pPr>
        <w:numPr>
          <w:ilvl w:val="0"/>
          <w:numId w:val="49"/>
        </w:numPr>
        <w:spacing w:before="120" w:after="120" w:line="288" w:lineRule="auto"/>
        <w:ind w:left="0"/>
        <w:jc w:val="left"/>
      </w:pPr>
      <w:r>
        <w:rPr>
          <w:rFonts w:ascii="Arial" w:hAnsi="Arial" w:eastAsia="等线" w:cs="Arial"/>
          <w:sz w:val="22"/>
        </w:rPr>
        <w:t>优秀：90分（含）以上，案卷规范、要素齐全、执法行为合法适当；</w:t>
      </w:r>
    </w:p>
    <w:p w14:paraId="69573973">
      <w:pPr>
        <w:numPr>
          <w:ilvl w:val="0"/>
          <w:numId w:val="50"/>
        </w:numPr>
        <w:spacing w:before="120" w:after="120" w:line="288" w:lineRule="auto"/>
        <w:ind w:left="0"/>
        <w:jc w:val="left"/>
      </w:pPr>
      <w:r>
        <w:rPr>
          <w:rFonts w:ascii="Arial" w:hAnsi="Arial" w:eastAsia="等线" w:cs="Arial"/>
          <w:sz w:val="22"/>
        </w:rPr>
        <w:t>合格：60分（含）至89分，案卷基本符合要求，存在一般性瑕疵但不影响执法行为合法性；</w:t>
      </w:r>
    </w:p>
    <w:p w14:paraId="3FBED631">
      <w:pPr>
        <w:numPr>
          <w:ilvl w:val="0"/>
          <w:numId w:val="51"/>
        </w:numPr>
        <w:spacing w:before="120" w:after="120" w:line="288" w:lineRule="auto"/>
        <w:ind w:left="0"/>
        <w:jc w:val="left"/>
      </w:pPr>
      <w:r>
        <w:rPr>
          <w:rFonts w:ascii="Arial" w:hAnsi="Arial" w:eastAsia="等线" w:cs="Arial"/>
          <w:sz w:val="22"/>
        </w:rPr>
        <w:t>不合格：60分以下，存在明显问题或符合本制度第八条一票否决情形。</w:t>
      </w:r>
    </w:p>
    <w:p w14:paraId="6D9F2DEF">
      <w:pPr>
        <w:spacing w:before="320" w:after="120" w:line="288" w:lineRule="auto"/>
        <w:ind w:left="0"/>
        <w:jc w:val="center"/>
        <w:outlineLvl w:val="1"/>
      </w:pPr>
      <w:bookmarkStart w:id="19" w:name="heading_19"/>
      <w:r>
        <w:rPr>
          <w:rFonts w:ascii="Arial" w:hAnsi="Arial" w:eastAsia="等线" w:cs="Arial"/>
          <w:b/>
          <w:sz w:val="32"/>
        </w:rPr>
        <w:t>第四章 评查程序</w:t>
      </w:r>
      <w:bookmarkEnd w:id="19"/>
    </w:p>
    <w:p w14:paraId="550D5D17">
      <w:pPr>
        <w:spacing w:before="300" w:after="120" w:line="288" w:lineRule="auto"/>
        <w:ind w:left="0"/>
        <w:jc w:val="left"/>
        <w:outlineLvl w:val="2"/>
      </w:pPr>
      <w:bookmarkStart w:id="20" w:name="heading_20"/>
      <w:r>
        <w:rPr>
          <w:rFonts w:ascii="Arial" w:hAnsi="Arial" w:eastAsia="等线" w:cs="Arial"/>
          <w:b/>
          <w:sz w:val="30"/>
        </w:rPr>
        <w:t>第十一条 评查流程</w:t>
      </w:r>
      <w:bookmarkEnd w:id="20"/>
    </w:p>
    <w:p w14:paraId="01F2F00D">
      <w:pPr>
        <w:numPr>
          <w:ilvl w:val="0"/>
          <w:numId w:val="52"/>
        </w:numPr>
        <w:spacing w:before="120" w:after="120" w:line="288" w:lineRule="auto"/>
        <w:ind w:left="0"/>
        <w:jc w:val="left"/>
      </w:pPr>
      <w:r>
        <w:rPr>
          <w:rFonts w:ascii="Arial" w:hAnsi="Arial" w:eastAsia="等线" w:cs="Arial"/>
          <w:sz w:val="22"/>
        </w:rPr>
        <w:t>案卷调阅：评查小组根据计划从案卷保管机构调阅案卷，填写《案卷调阅登记表》，明确调阅期限，严禁涂改、抽取案卷材料；</w:t>
      </w:r>
    </w:p>
    <w:p w14:paraId="372A437B">
      <w:pPr>
        <w:numPr>
          <w:ilvl w:val="0"/>
          <w:numId w:val="53"/>
        </w:numPr>
        <w:spacing w:before="120" w:after="120" w:line="288" w:lineRule="auto"/>
        <w:ind w:left="0"/>
        <w:jc w:val="left"/>
      </w:pPr>
      <w:r>
        <w:rPr>
          <w:rFonts w:ascii="Arial" w:hAnsi="Arial" w:eastAsia="等线" w:cs="Arial"/>
          <w:sz w:val="22"/>
        </w:rPr>
        <w:t>独立审查：评查人员对照评分细则逐卷审查，填写《案卷评查打分表》，注明扣分理由及问题所在；</w:t>
      </w:r>
    </w:p>
    <w:p w14:paraId="6F3D57BF">
      <w:pPr>
        <w:numPr>
          <w:ilvl w:val="0"/>
          <w:numId w:val="54"/>
        </w:numPr>
        <w:spacing w:before="120" w:after="120" w:line="288" w:lineRule="auto"/>
        <w:ind w:left="0"/>
        <w:jc w:val="left"/>
      </w:pPr>
      <w:r>
        <w:rPr>
          <w:rFonts w:ascii="Arial" w:hAnsi="Arial" w:eastAsia="等线" w:cs="Arial"/>
          <w:sz w:val="22"/>
        </w:rPr>
        <w:t>集体复核：评查小组召开复核会议，对单个案卷评分进行集体审议，形成统一评查意见；</w:t>
      </w:r>
    </w:p>
    <w:p w14:paraId="16F82ACA">
      <w:pPr>
        <w:numPr>
          <w:ilvl w:val="0"/>
          <w:numId w:val="55"/>
        </w:numPr>
        <w:spacing w:before="120" w:after="120" w:line="288" w:lineRule="auto"/>
        <w:ind w:left="0"/>
        <w:jc w:val="left"/>
      </w:pPr>
      <w:r>
        <w:rPr>
          <w:rFonts w:ascii="Arial" w:hAnsi="Arial" w:eastAsia="等线" w:cs="Arial"/>
          <w:sz w:val="22"/>
        </w:rPr>
        <w:t>反馈告知：评查结束后10个工作日内，向案卷承办部门送达《案卷评查反馈意见书》，列明问题清单及整改要求；</w:t>
      </w:r>
    </w:p>
    <w:p w14:paraId="461472C3">
      <w:pPr>
        <w:numPr>
          <w:ilvl w:val="0"/>
          <w:numId w:val="56"/>
        </w:numPr>
        <w:spacing w:before="120" w:after="120" w:line="288" w:lineRule="auto"/>
        <w:ind w:left="0"/>
        <w:jc w:val="left"/>
      </w:pPr>
      <w:r>
        <w:rPr>
          <w:rFonts w:ascii="Arial" w:hAnsi="Arial" w:eastAsia="等线" w:cs="Arial"/>
          <w:sz w:val="22"/>
        </w:rPr>
        <w:t>异议复核：承办部门对评查结果有异议的，可在收到反馈意见后15个工作日内提出复核申请，评查小组在15个工作日内完成复核并答复。</w:t>
      </w:r>
    </w:p>
    <w:p w14:paraId="56F86CF0">
      <w:pPr>
        <w:spacing w:before="300" w:after="120" w:line="288" w:lineRule="auto"/>
        <w:ind w:left="0"/>
        <w:jc w:val="left"/>
        <w:outlineLvl w:val="2"/>
      </w:pPr>
      <w:bookmarkStart w:id="21" w:name="heading_21"/>
      <w:r>
        <w:rPr>
          <w:rFonts w:ascii="Arial" w:hAnsi="Arial" w:eastAsia="等线" w:cs="Arial"/>
          <w:b/>
          <w:sz w:val="30"/>
        </w:rPr>
        <w:t>第十二条 评查方式</w:t>
      </w:r>
      <w:bookmarkEnd w:id="21"/>
    </w:p>
    <w:p w14:paraId="110A6488">
      <w:pPr>
        <w:numPr>
          <w:ilvl w:val="0"/>
          <w:numId w:val="57"/>
        </w:numPr>
        <w:spacing w:before="120" w:after="120" w:line="288" w:lineRule="auto"/>
        <w:ind w:left="0"/>
        <w:jc w:val="left"/>
      </w:pPr>
      <w:r>
        <w:rPr>
          <w:rFonts w:ascii="Arial" w:hAnsi="Arial" w:eastAsia="等线" w:cs="Arial"/>
          <w:sz w:val="22"/>
        </w:rPr>
        <w:t>书面审查：以查阅案卷文书、证据材料、归档资料为主，重点核查合法性与规范性；</w:t>
      </w:r>
    </w:p>
    <w:p w14:paraId="64806B92">
      <w:pPr>
        <w:numPr>
          <w:ilvl w:val="0"/>
          <w:numId w:val="58"/>
        </w:numPr>
        <w:spacing w:before="120" w:after="120" w:line="288" w:lineRule="auto"/>
        <w:ind w:left="0"/>
        <w:jc w:val="left"/>
      </w:pPr>
      <w:r>
        <w:rPr>
          <w:rFonts w:ascii="Arial" w:hAnsi="Arial" w:eastAsia="等线" w:cs="Arial"/>
          <w:sz w:val="22"/>
        </w:rPr>
        <w:t>实地核查：对复杂疑难案卷，可走访当事人、查看执法现场或调取音像记录核实情况；</w:t>
      </w:r>
    </w:p>
    <w:p w14:paraId="511F8967">
      <w:pPr>
        <w:numPr>
          <w:ilvl w:val="0"/>
          <w:numId w:val="59"/>
        </w:numPr>
        <w:spacing w:before="120" w:after="120" w:line="288" w:lineRule="auto"/>
        <w:ind w:left="0"/>
        <w:jc w:val="left"/>
      </w:pPr>
      <w:r>
        <w:rPr>
          <w:rFonts w:ascii="Arial" w:hAnsi="Arial" w:eastAsia="等线" w:cs="Arial"/>
          <w:sz w:val="22"/>
        </w:rPr>
        <w:t>系统核查：依托行政执法信息化平台，对电子案卷的完整性、规范性进行线上核查。</w:t>
      </w:r>
    </w:p>
    <w:p w14:paraId="1CC6B9F1">
      <w:pPr>
        <w:spacing w:before="320" w:after="120" w:line="288" w:lineRule="auto"/>
        <w:ind w:left="0"/>
        <w:jc w:val="center"/>
        <w:outlineLvl w:val="1"/>
      </w:pPr>
      <w:bookmarkStart w:id="22" w:name="heading_22"/>
      <w:r>
        <w:rPr>
          <w:rFonts w:ascii="Arial" w:hAnsi="Arial" w:eastAsia="等线" w:cs="Arial"/>
          <w:b/>
          <w:sz w:val="32"/>
        </w:rPr>
        <w:t>第五章 评查结果运用</w:t>
      </w:r>
      <w:bookmarkEnd w:id="22"/>
    </w:p>
    <w:p w14:paraId="74159EDD">
      <w:pPr>
        <w:spacing w:before="300" w:after="120" w:line="288" w:lineRule="auto"/>
        <w:ind w:left="0"/>
        <w:jc w:val="left"/>
        <w:outlineLvl w:val="2"/>
      </w:pPr>
      <w:bookmarkStart w:id="23" w:name="heading_23"/>
      <w:r>
        <w:rPr>
          <w:rFonts w:ascii="Arial" w:hAnsi="Arial" w:eastAsia="等线" w:cs="Arial"/>
          <w:b/>
          <w:sz w:val="30"/>
        </w:rPr>
        <w:t>第十三条 整改落实</w:t>
      </w:r>
      <w:bookmarkEnd w:id="23"/>
    </w:p>
    <w:p w14:paraId="214E1C37">
      <w:pPr>
        <w:numPr>
          <w:ilvl w:val="0"/>
          <w:numId w:val="60"/>
        </w:numPr>
        <w:spacing w:before="120" w:after="120" w:line="288" w:lineRule="auto"/>
        <w:ind w:left="0"/>
        <w:jc w:val="left"/>
      </w:pPr>
      <w:r>
        <w:rPr>
          <w:rFonts w:ascii="Arial" w:hAnsi="Arial" w:eastAsia="等线" w:cs="Arial"/>
          <w:sz w:val="22"/>
        </w:rPr>
        <w:t>承办部门收到《案卷评查反馈意见书》后，应在30个工作日内完成整改，形成整改报告及整改后的案卷，报评查小组复查；</w:t>
      </w:r>
    </w:p>
    <w:p w14:paraId="29A3D5BF">
      <w:pPr>
        <w:numPr>
          <w:ilvl w:val="0"/>
          <w:numId w:val="61"/>
        </w:numPr>
        <w:spacing w:before="120" w:after="120" w:line="288" w:lineRule="auto"/>
        <w:ind w:left="0"/>
        <w:jc w:val="left"/>
      </w:pPr>
      <w:r>
        <w:rPr>
          <w:rFonts w:ascii="Arial" w:hAnsi="Arial" w:eastAsia="等线" w:cs="Arial"/>
          <w:sz w:val="22"/>
        </w:rPr>
        <w:t>评查小组对整改情况进行跟踪督办，对逾期未整改或整改不到位的，发出《行政执法监督通知书》，责令限期改正。</w:t>
      </w:r>
    </w:p>
    <w:p w14:paraId="0B76804D">
      <w:pPr>
        <w:spacing w:before="300" w:after="120" w:line="288" w:lineRule="auto"/>
        <w:ind w:left="0"/>
        <w:jc w:val="left"/>
        <w:outlineLvl w:val="2"/>
      </w:pPr>
      <w:bookmarkStart w:id="24" w:name="heading_24"/>
      <w:r>
        <w:rPr>
          <w:rFonts w:ascii="Arial" w:hAnsi="Arial" w:eastAsia="等线" w:cs="Arial"/>
          <w:b/>
          <w:sz w:val="30"/>
        </w:rPr>
        <w:t>第十四条 考核奖惩</w:t>
      </w:r>
      <w:bookmarkEnd w:id="24"/>
    </w:p>
    <w:p w14:paraId="52FFBCD7">
      <w:pPr>
        <w:numPr>
          <w:ilvl w:val="0"/>
          <w:numId w:val="62"/>
        </w:numPr>
        <w:spacing w:before="120" w:after="120" w:line="288" w:lineRule="auto"/>
        <w:ind w:left="0"/>
        <w:jc w:val="left"/>
      </w:pPr>
      <w:r>
        <w:rPr>
          <w:rFonts w:ascii="Arial" w:hAnsi="Arial" w:eastAsia="等线" w:cs="Arial"/>
          <w:sz w:val="22"/>
        </w:rPr>
        <w:t>评查结果纳入本级民宗部门年度法治政府建设考核及执法人员绩效考核体系；</w:t>
      </w:r>
    </w:p>
    <w:p w14:paraId="115C946C">
      <w:pPr>
        <w:numPr>
          <w:ilvl w:val="0"/>
          <w:numId w:val="63"/>
        </w:numPr>
        <w:spacing w:before="120" w:after="120" w:line="288" w:lineRule="auto"/>
        <w:ind w:left="0"/>
        <w:jc w:val="left"/>
      </w:pPr>
      <w:r>
        <w:rPr>
          <w:rFonts w:ascii="Arial" w:hAnsi="Arial" w:eastAsia="等线" w:cs="Arial"/>
          <w:sz w:val="22"/>
        </w:rPr>
        <w:t>对评查优秀的案卷承办部门及个人，予以通报表彰，优秀案卷作为典型案例汇编推广；</w:t>
      </w:r>
    </w:p>
    <w:p w14:paraId="016EF349">
      <w:pPr>
        <w:numPr>
          <w:ilvl w:val="0"/>
          <w:numId w:val="64"/>
        </w:numPr>
        <w:spacing w:before="120" w:after="120" w:line="288" w:lineRule="auto"/>
        <w:ind w:left="0"/>
        <w:jc w:val="left"/>
      </w:pPr>
      <w:r>
        <w:rPr>
          <w:rFonts w:ascii="Arial" w:hAnsi="Arial" w:eastAsia="等线" w:cs="Arial"/>
          <w:sz w:val="22"/>
        </w:rPr>
        <w:t>对评查不合格的案卷承办部门，予以通报批评，取消当年评先树优资格；承办人员年度考核不得评为优秀等次，需参加执法业务培训；</w:t>
      </w:r>
    </w:p>
    <w:p w14:paraId="796A423D">
      <w:pPr>
        <w:numPr>
          <w:ilvl w:val="0"/>
          <w:numId w:val="65"/>
        </w:numPr>
        <w:spacing w:before="120" w:after="120" w:line="288" w:lineRule="auto"/>
        <w:ind w:left="0"/>
        <w:jc w:val="left"/>
      </w:pPr>
      <w:r>
        <w:rPr>
          <w:rFonts w:ascii="Arial" w:hAnsi="Arial" w:eastAsia="等线" w:cs="Arial"/>
          <w:sz w:val="22"/>
        </w:rPr>
        <w:t>连续两次评查不合格或存在重大执法违法问题的，依规追究相关负责人及直接责任人责任，情节严重的调离执法岗位或取消执法资格。</w:t>
      </w:r>
    </w:p>
    <w:p w14:paraId="57462755">
      <w:pPr>
        <w:spacing w:before="300" w:after="120" w:line="288" w:lineRule="auto"/>
        <w:ind w:left="0"/>
        <w:jc w:val="left"/>
        <w:outlineLvl w:val="2"/>
      </w:pPr>
      <w:bookmarkStart w:id="25" w:name="heading_25"/>
      <w:r>
        <w:rPr>
          <w:rFonts w:ascii="Arial" w:hAnsi="Arial" w:eastAsia="等线" w:cs="Arial"/>
          <w:b/>
          <w:sz w:val="30"/>
        </w:rPr>
        <w:t>第十五条 长效管理</w:t>
      </w:r>
      <w:bookmarkEnd w:id="25"/>
    </w:p>
    <w:p w14:paraId="11C10CCD">
      <w:pPr>
        <w:numPr>
          <w:ilvl w:val="0"/>
          <w:numId w:val="66"/>
        </w:numPr>
        <w:spacing w:before="120" w:after="120" w:line="288" w:lineRule="auto"/>
        <w:ind w:left="0"/>
        <w:jc w:val="left"/>
      </w:pPr>
      <w:r>
        <w:rPr>
          <w:rFonts w:ascii="Arial" w:hAnsi="Arial" w:eastAsia="等线" w:cs="Arial"/>
          <w:sz w:val="22"/>
        </w:rPr>
        <w:t>建立典型案例点评机制，定期选取优秀案卷和不合格案卷进行集中点评，提升执法人员业务能力；</w:t>
      </w:r>
    </w:p>
    <w:p w14:paraId="1339AABC">
      <w:pPr>
        <w:numPr>
          <w:ilvl w:val="0"/>
          <w:numId w:val="67"/>
        </w:numPr>
        <w:spacing w:before="120" w:after="120" w:line="288" w:lineRule="auto"/>
        <w:ind w:left="0"/>
        <w:jc w:val="left"/>
      </w:pPr>
      <w:r>
        <w:rPr>
          <w:rFonts w:ascii="Arial" w:hAnsi="Arial" w:eastAsia="等线" w:cs="Arial"/>
          <w:sz w:val="22"/>
        </w:rPr>
        <w:t>每年度形成案卷评查工作报告，梳理共性问题，完善执法制度及文书规范；</w:t>
      </w:r>
    </w:p>
    <w:p w14:paraId="5777CF9D">
      <w:pPr>
        <w:numPr>
          <w:ilvl w:val="0"/>
          <w:numId w:val="68"/>
        </w:numPr>
        <w:spacing w:before="120" w:after="120" w:line="288" w:lineRule="auto"/>
        <w:ind w:left="0"/>
        <w:jc w:val="left"/>
      </w:pPr>
      <w:r>
        <w:rPr>
          <w:rFonts w:ascii="Arial" w:hAnsi="Arial" w:eastAsia="等线" w:cs="Arial"/>
          <w:sz w:val="22"/>
        </w:rPr>
        <w:t>将评查结果与执法培训相结合，针对高频问题开展专项培训，强化执法人员规范意识。</w:t>
      </w:r>
    </w:p>
    <w:p w14:paraId="550D7841">
      <w:pPr>
        <w:spacing w:before="320" w:after="120" w:line="288" w:lineRule="auto"/>
        <w:ind w:left="0"/>
        <w:jc w:val="center"/>
        <w:outlineLvl w:val="1"/>
      </w:pPr>
      <w:bookmarkStart w:id="26" w:name="heading_26"/>
      <w:r>
        <w:rPr>
          <w:rFonts w:ascii="Arial" w:hAnsi="Arial" w:eastAsia="等线" w:cs="Arial"/>
          <w:b/>
          <w:sz w:val="32"/>
        </w:rPr>
        <w:t>第六章 责任追究</w:t>
      </w:r>
      <w:bookmarkEnd w:id="26"/>
    </w:p>
    <w:p w14:paraId="2F0BDC1D">
      <w:pPr>
        <w:spacing w:before="300" w:after="120" w:line="288" w:lineRule="auto"/>
        <w:ind w:left="0"/>
        <w:jc w:val="left"/>
        <w:outlineLvl w:val="2"/>
      </w:pPr>
      <w:bookmarkStart w:id="27" w:name="heading_27"/>
      <w:r>
        <w:rPr>
          <w:rFonts w:ascii="Arial" w:hAnsi="Arial" w:eastAsia="等线" w:cs="Arial"/>
          <w:b/>
          <w:sz w:val="30"/>
        </w:rPr>
        <w:t>第十六条 评查人员责任</w:t>
      </w:r>
      <w:bookmarkEnd w:id="27"/>
    </w:p>
    <w:p w14:paraId="286A031D">
      <w:pPr>
        <w:spacing w:before="120" w:after="120" w:line="288" w:lineRule="auto"/>
        <w:ind w:left="0"/>
        <w:jc w:val="left"/>
      </w:pPr>
      <w:r>
        <w:rPr>
          <w:rFonts w:ascii="Arial" w:hAnsi="Arial" w:eastAsia="等线" w:cs="Arial"/>
          <w:sz w:val="22"/>
        </w:rPr>
        <w:t>评查人员在评查工作中滥用职权、徇私舞弊、玩忽职守的，依规依纪严肃处理；涉嫌犯罪的，依法移送司法机关。</w:t>
      </w:r>
    </w:p>
    <w:p w14:paraId="5DE0818E">
      <w:pPr>
        <w:spacing w:before="300" w:after="120" w:line="288" w:lineRule="auto"/>
        <w:ind w:left="0"/>
        <w:jc w:val="left"/>
        <w:outlineLvl w:val="2"/>
      </w:pPr>
      <w:bookmarkStart w:id="28" w:name="heading_28"/>
      <w:r>
        <w:rPr>
          <w:rFonts w:ascii="Arial" w:hAnsi="Arial" w:eastAsia="等线" w:cs="Arial"/>
          <w:b/>
          <w:sz w:val="30"/>
        </w:rPr>
        <w:t>第十七条 承办部门责任</w:t>
      </w:r>
      <w:bookmarkEnd w:id="28"/>
    </w:p>
    <w:p w14:paraId="2800AEDE">
      <w:pPr>
        <w:numPr>
          <w:ilvl w:val="0"/>
          <w:numId w:val="69"/>
        </w:numPr>
        <w:spacing w:before="120" w:after="120" w:line="288" w:lineRule="auto"/>
        <w:ind w:left="0"/>
        <w:jc w:val="left"/>
      </w:pPr>
      <w:r>
        <w:rPr>
          <w:rFonts w:ascii="Arial" w:hAnsi="Arial" w:eastAsia="等线" w:cs="Arial"/>
          <w:sz w:val="22"/>
        </w:rPr>
        <w:t>拒绝提供评查案卷或提供虚假案卷材料的，对部门负责人予以通报批评，情节严重的依规追责；</w:t>
      </w:r>
    </w:p>
    <w:p w14:paraId="0F5A360E">
      <w:pPr>
        <w:numPr>
          <w:ilvl w:val="0"/>
          <w:numId w:val="70"/>
        </w:numPr>
        <w:spacing w:before="120" w:after="120" w:line="288" w:lineRule="auto"/>
        <w:ind w:left="0"/>
        <w:jc w:val="left"/>
      </w:pPr>
      <w:r>
        <w:rPr>
          <w:rFonts w:ascii="Arial" w:hAnsi="Arial" w:eastAsia="等线" w:cs="Arial"/>
          <w:sz w:val="22"/>
        </w:rPr>
        <w:t>对评查指出的问题拒不整改或整改不力，导致执法行为被撤销、行政复议败诉或引发信访事件的，严肃追究相关人员责任。</w:t>
      </w:r>
    </w:p>
    <w:p w14:paraId="302A3AC0">
      <w:pPr>
        <w:spacing w:before="320" w:after="120" w:line="288" w:lineRule="auto"/>
        <w:ind w:left="0"/>
        <w:jc w:val="center"/>
        <w:outlineLvl w:val="1"/>
      </w:pPr>
      <w:bookmarkStart w:id="29" w:name="heading_29"/>
      <w:r>
        <w:rPr>
          <w:rFonts w:ascii="Arial" w:hAnsi="Arial" w:eastAsia="等线" w:cs="Arial"/>
          <w:b/>
          <w:sz w:val="32"/>
        </w:rPr>
        <w:t>第七章 附则</w:t>
      </w:r>
      <w:bookmarkEnd w:id="29"/>
    </w:p>
    <w:p w14:paraId="766F2193">
      <w:pPr>
        <w:spacing w:before="300" w:after="120" w:line="288" w:lineRule="auto"/>
        <w:ind w:left="0"/>
        <w:jc w:val="left"/>
        <w:outlineLvl w:val="2"/>
      </w:pPr>
      <w:bookmarkStart w:id="30" w:name="heading_30"/>
      <w:r>
        <w:rPr>
          <w:rFonts w:ascii="Arial" w:hAnsi="Arial" w:eastAsia="等线" w:cs="Arial"/>
          <w:b/>
          <w:sz w:val="30"/>
        </w:rPr>
        <w:t>第十八条 特殊事项</w:t>
      </w:r>
      <w:bookmarkEnd w:id="30"/>
    </w:p>
    <w:p w14:paraId="56F4AEF5">
      <w:pPr>
        <w:numPr>
          <w:ilvl w:val="0"/>
          <w:numId w:val="71"/>
        </w:numPr>
        <w:spacing w:before="120" w:after="120" w:line="288" w:lineRule="auto"/>
        <w:ind w:left="0"/>
        <w:jc w:val="left"/>
      </w:pPr>
      <w:r>
        <w:rPr>
          <w:rFonts w:ascii="Arial" w:hAnsi="Arial" w:eastAsia="等线" w:cs="Arial"/>
          <w:sz w:val="22"/>
        </w:rPr>
        <w:t>涉及国家秘密、商业秘密、个人隐私的案卷，评查时应采取保密措施，单独评查、专人保管；</w:t>
      </w:r>
    </w:p>
    <w:p w14:paraId="374DB717">
      <w:pPr>
        <w:numPr>
          <w:ilvl w:val="0"/>
          <w:numId w:val="72"/>
        </w:numPr>
        <w:spacing w:before="120" w:after="120" w:line="288" w:lineRule="auto"/>
        <w:ind w:left="0"/>
        <w:jc w:val="left"/>
      </w:pPr>
      <w:r>
        <w:rPr>
          <w:rFonts w:ascii="Arial" w:hAnsi="Arial" w:eastAsia="等线" w:cs="Arial"/>
          <w:sz w:val="22"/>
        </w:rPr>
        <w:t>联合执法案卷由牵头的民宗部门负责整理归档，评查结果同步反馈参与执法的其他部门；</w:t>
      </w:r>
    </w:p>
    <w:p w14:paraId="1058CA6C">
      <w:pPr>
        <w:numPr>
          <w:ilvl w:val="0"/>
          <w:numId w:val="73"/>
        </w:numPr>
        <w:spacing w:before="120" w:after="120" w:line="288" w:lineRule="auto"/>
        <w:ind w:left="0"/>
        <w:jc w:val="left"/>
      </w:pPr>
      <w:r>
        <w:rPr>
          <w:rFonts w:ascii="Arial" w:hAnsi="Arial" w:eastAsia="等线" w:cs="Arial"/>
          <w:sz w:val="22"/>
        </w:rPr>
        <w:t>本制度未尽事宜，参照《行政执法案卷评查办法》及上级民宗部门相关规定执行。</w:t>
      </w:r>
    </w:p>
    <w:p w14:paraId="10CA0C32">
      <w:pPr>
        <w:spacing w:before="300" w:after="120" w:line="288" w:lineRule="auto"/>
        <w:ind w:left="0"/>
        <w:jc w:val="left"/>
        <w:outlineLvl w:val="2"/>
      </w:pPr>
      <w:bookmarkStart w:id="31" w:name="heading_31"/>
      <w:r>
        <w:rPr>
          <w:rFonts w:ascii="Arial" w:hAnsi="Arial" w:eastAsia="等线" w:cs="Arial"/>
          <w:b/>
          <w:sz w:val="30"/>
        </w:rPr>
        <w:t>第十九条 制度实施</w:t>
      </w:r>
      <w:bookmarkEnd w:id="31"/>
    </w:p>
    <w:p w14:paraId="076DC618">
      <w:pPr>
        <w:numPr>
          <w:ilvl w:val="0"/>
          <w:numId w:val="74"/>
        </w:numPr>
        <w:spacing w:before="120" w:after="120" w:line="288" w:lineRule="auto"/>
        <w:ind w:left="0"/>
        <w:jc w:val="left"/>
      </w:pPr>
      <w:r>
        <w:rPr>
          <w:rFonts w:ascii="Arial" w:hAnsi="Arial" w:eastAsia="等线" w:cs="Arial"/>
          <w:sz w:val="22"/>
        </w:rPr>
        <w:t>本制度由各级民族宗教事务部门负责解释，可结合本地实际制定实施细则；</w:t>
      </w:r>
    </w:p>
    <w:p w14:paraId="6E707F79">
      <w:pPr>
        <w:numPr>
          <w:ilvl w:val="0"/>
          <w:numId w:val="75"/>
        </w:numPr>
        <w:spacing w:before="120" w:after="120" w:line="288" w:lineRule="auto"/>
        <w:ind w:left="0"/>
        <w:jc w:val="left"/>
      </w:pPr>
      <w:r>
        <w:rPr>
          <w:rFonts w:ascii="Arial" w:hAnsi="Arial" w:eastAsia="等线" w:cs="Arial"/>
          <w:sz w:val="22"/>
        </w:rPr>
        <w:t>本制度自发布之日起施行，以往相关规定与本制度不一致的，以本制度为准。</w:t>
      </w:r>
      <w:bookmarkStart w:id="32" w:name="_GoBack"/>
      <w:bookmarkEnd w:id="32"/>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5C2F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3FA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
      <w:numFmt w:val="decimal"/>
      <w:lvlText w:val="%1."/>
      <w:lvlJc w:val="left"/>
      <w:rPr>
        <w:color w:val="3370FF"/>
      </w:rPr>
    </w:lvl>
  </w:abstractNum>
  <w:abstractNum w:abstractNumId="1">
    <w:nsid w:val="845B5372"/>
    <w:multiLevelType w:val="singleLevel"/>
    <w:tmpl w:val="845B5372"/>
    <w:lvl w:ilvl="0" w:tentative="0">
      <w:start w:val="1"/>
      <w:numFmt w:val="decimal"/>
      <w:lvlText w:val="%1."/>
      <w:lvlJc w:val="left"/>
      <w:rPr>
        <w:color w:val="3370FF"/>
      </w:rPr>
    </w:lvl>
  </w:abstractNum>
  <w:abstractNum w:abstractNumId="2">
    <w:nsid w:val="8461FADE"/>
    <w:multiLevelType w:val="singleLevel"/>
    <w:tmpl w:val="8461FADE"/>
    <w:lvl w:ilvl="0" w:tentative="0">
      <w:start w:val="2"/>
      <w:numFmt w:val="decimal"/>
      <w:lvlText w:val="%1."/>
      <w:lvlJc w:val="left"/>
      <w:rPr>
        <w:color w:val="3370FF"/>
      </w:rPr>
    </w:lvl>
  </w:abstractNum>
  <w:abstractNum w:abstractNumId="3">
    <w:nsid w:val="8CAEB125"/>
    <w:multiLevelType w:val="singleLevel"/>
    <w:tmpl w:val="8CAEB125"/>
    <w:lvl w:ilvl="0" w:tentative="0">
      <w:start w:val="3"/>
      <w:numFmt w:val="decimal"/>
      <w:lvlText w:val="%1."/>
      <w:lvlJc w:val="left"/>
      <w:rPr>
        <w:color w:val="3370FF"/>
      </w:rPr>
    </w:lvl>
  </w:abstractNum>
  <w:abstractNum w:abstractNumId="4">
    <w:nsid w:val="91995D4F"/>
    <w:multiLevelType w:val="singleLevel"/>
    <w:tmpl w:val="91995D4F"/>
    <w:lvl w:ilvl="0" w:tentative="0">
      <w:start w:val="3"/>
      <w:numFmt w:val="decimal"/>
      <w:lvlText w:val="%1."/>
      <w:lvlJc w:val="left"/>
      <w:rPr>
        <w:color w:val="3370FF"/>
      </w:rPr>
    </w:lvl>
  </w:abstractNum>
  <w:abstractNum w:abstractNumId="5">
    <w:nsid w:val="9239341B"/>
    <w:multiLevelType w:val="singleLevel"/>
    <w:tmpl w:val="9239341B"/>
    <w:lvl w:ilvl="0" w:tentative="0">
      <w:start w:val="3"/>
      <w:numFmt w:val="decimal"/>
      <w:lvlText w:val="%1."/>
      <w:lvlJc w:val="left"/>
      <w:rPr>
        <w:color w:val="3370FF"/>
      </w:rPr>
    </w:lvl>
  </w:abstractNum>
  <w:abstractNum w:abstractNumId="6">
    <w:nsid w:val="9288B902"/>
    <w:multiLevelType w:val="singleLevel"/>
    <w:tmpl w:val="9288B902"/>
    <w:lvl w:ilvl="0" w:tentative="0">
      <w:start w:val="5"/>
      <w:numFmt w:val="decimal"/>
      <w:lvlText w:val="%1."/>
      <w:lvlJc w:val="left"/>
      <w:rPr>
        <w:color w:val="3370FF"/>
      </w:rPr>
    </w:lvl>
  </w:abstractNum>
  <w:abstractNum w:abstractNumId="7">
    <w:nsid w:val="9C8AC8EF"/>
    <w:multiLevelType w:val="singleLevel"/>
    <w:tmpl w:val="9C8AC8EF"/>
    <w:lvl w:ilvl="0" w:tentative="0">
      <w:start w:val="6"/>
      <w:numFmt w:val="decimal"/>
      <w:lvlText w:val="%1."/>
      <w:lvlJc w:val="left"/>
      <w:rPr>
        <w:color w:val="3370FF"/>
      </w:rPr>
    </w:lvl>
  </w:abstractNum>
  <w:abstractNum w:abstractNumId="8">
    <w:nsid w:val="A0F05207"/>
    <w:multiLevelType w:val="singleLevel"/>
    <w:tmpl w:val="A0F05207"/>
    <w:lvl w:ilvl="0" w:tentative="0">
      <w:start w:val="1"/>
      <w:numFmt w:val="decimal"/>
      <w:lvlText w:val="%1."/>
      <w:lvlJc w:val="left"/>
      <w:rPr>
        <w:color w:val="3370FF"/>
      </w:rPr>
    </w:lvl>
  </w:abstractNum>
  <w:abstractNum w:abstractNumId="9">
    <w:nsid w:val="B0F1ACD9"/>
    <w:multiLevelType w:val="singleLevel"/>
    <w:tmpl w:val="B0F1ACD9"/>
    <w:lvl w:ilvl="0" w:tentative="0">
      <w:start w:val="3"/>
      <w:numFmt w:val="decimal"/>
      <w:lvlText w:val="%1."/>
      <w:lvlJc w:val="left"/>
      <w:rPr>
        <w:color w:val="3370FF"/>
      </w:rPr>
    </w:lvl>
  </w:abstractNum>
  <w:abstractNum w:abstractNumId="10">
    <w:nsid w:val="B23A94A9"/>
    <w:multiLevelType w:val="singleLevel"/>
    <w:tmpl w:val="B23A94A9"/>
    <w:lvl w:ilvl="0" w:tentative="0">
      <w:start w:val="2"/>
      <w:numFmt w:val="decimal"/>
      <w:lvlText w:val="%1."/>
      <w:lvlJc w:val="left"/>
      <w:rPr>
        <w:color w:val="3370FF"/>
      </w:rPr>
    </w:lvl>
  </w:abstractNum>
  <w:abstractNum w:abstractNumId="11">
    <w:nsid w:val="B53F3350"/>
    <w:multiLevelType w:val="singleLevel"/>
    <w:tmpl w:val="B53F3350"/>
    <w:lvl w:ilvl="0" w:tentative="0">
      <w:start w:val="1"/>
      <w:numFmt w:val="decimal"/>
      <w:lvlText w:val="%1."/>
      <w:lvlJc w:val="left"/>
      <w:rPr>
        <w:color w:val="3370FF"/>
      </w:rPr>
    </w:lvl>
  </w:abstractNum>
  <w:abstractNum w:abstractNumId="12">
    <w:nsid w:val="B5E306ED"/>
    <w:multiLevelType w:val="singleLevel"/>
    <w:tmpl w:val="B5E306ED"/>
    <w:lvl w:ilvl="0" w:tentative="0">
      <w:start w:val="5"/>
      <w:numFmt w:val="decimal"/>
      <w:lvlText w:val="%1."/>
      <w:lvlJc w:val="left"/>
      <w:rPr>
        <w:color w:val="3370FF"/>
      </w:rPr>
    </w:lvl>
  </w:abstractNum>
  <w:abstractNum w:abstractNumId="13">
    <w:nsid w:val="B8CEF35B"/>
    <w:multiLevelType w:val="singleLevel"/>
    <w:tmpl w:val="B8CEF35B"/>
    <w:lvl w:ilvl="0" w:tentative="0">
      <w:start w:val="4"/>
      <w:numFmt w:val="decimal"/>
      <w:lvlText w:val="%1."/>
      <w:lvlJc w:val="left"/>
      <w:rPr>
        <w:color w:val="3370FF"/>
      </w:rPr>
    </w:lvl>
  </w:abstractNum>
  <w:abstractNum w:abstractNumId="14">
    <w:nsid w:val="BB64CFA9"/>
    <w:multiLevelType w:val="singleLevel"/>
    <w:tmpl w:val="BB64CFA9"/>
    <w:lvl w:ilvl="0" w:tentative="0">
      <w:start w:val="2"/>
      <w:numFmt w:val="decimal"/>
      <w:lvlText w:val="%1."/>
      <w:lvlJc w:val="left"/>
      <w:rPr>
        <w:color w:val="3370FF"/>
      </w:rPr>
    </w:lvl>
  </w:abstractNum>
  <w:abstractNum w:abstractNumId="15">
    <w:nsid w:val="BE923771"/>
    <w:multiLevelType w:val="singleLevel"/>
    <w:tmpl w:val="BE923771"/>
    <w:lvl w:ilvl="0" w:tentative="0">
      <w:start w:val="3"/>
      <w:numFmt w:val="decimal"/>
      <w:lvlText w:val="%1."/>
      <w:lvlJc w:val="left"/>
      <w:rPr>
        <w:color w:val="3370FF"/>
      </w:rPr>
    </w:lvl>
  </w:abstractNum>
  <w:abstractNum w:abstractNumId="16">
    <w:nsid w:val="BF205925"/>
    <w:multiLevelType w:val="singleLevel"/>
    <w:tmpl w:val="BF205925"/>
    <w:lvl w:ilvl="0" w:tentative="0">
      <w:start w:val="4"/>
      <w:numFmt w:val="decimal"/>
      <w:lvlText w:val="%1."/>
      <w:lvlJc w:val="left"/>
      <w:rPr>
        <w:color w:val="3370FF"/>
      </w:rPr>
    </w:lvl>
  </w:abstractNum>
  <w:abstractNum w:abstractNumId="17">
    <w:nsid w:val="C0915F4F"/>
    <w:multiLevelType w:val="singleLevel"/>
    <w:tmpl w:val="C0915F4F"/>
    <w:lvl w:ilvl="0" w:tentative="0">
      <w:start w:val="4"/>
      <w:numFmt w:val="decimal"/>
      <w:lvlText w:val="%1."/>
      <w:lvlJc w:val="left"/>
      <w:rPr>
        <w:color w:val="3370FF"/>
      </w:rPr>
    </w:lvl>
  </w:abstractNum>
  <w:abstractNum w:abstractNumId="18">
    <w:nsid w:val="C8879AEF"/>
    <w:multiLevelType w:val="singleLevel"/>
    <w:tmpl w:val="C8879AEF"/>
    <w:lvl w:ilvl="0" w:tentative="0">
      <w:start w:val="3"/>
      <w:numFmt w:val="decimal"/>
      <w:lvlText w:val="%1."/>
      <w:lvlJc w:val="left"/>
      <w:rPr>
        <w:color w:val="3370FF"/>
      </w:rPr>
    </w:lvl>
  </w:abstractNum>
  <w:abstractNum w:abstractNumId="19">
    <w:nsid w:val="CF092B84"/>
    <w:multiLevelType w:val="singleLevel"/>
    <w:tmpl w:val="CF092B84"/>
    <w:lvl w:ilvl="0" w:tentative="0">
      <w:start w:val="2"/>
      <w:numFmt w:val="decimal"/>
      <w:lvlText w:val="%1."/>
      <w:lvlJc w:val="left"/>
      <w:rPr>
        <w:color w:val="3370FF"/>
      </w:rPr>
    </w:lvl>
  </w:abstractNum>
  <w:abstractNum w:abstractNumId="20">
    <w:nsid w:val="D7D140E4"/>
    <w:multiLevelType w:val="singleLevel"/>
    <w:tmpl w:val="D7D140E4"/>
    <w:lvl w:ilvl="0" w:tentative="0">
      <w:start w:val="4"/>
      <w:numFmt w:val="decimal"/>
      <w:lvlText w:val="%1."/>
      <w:lvlJc w:val="left"/>
      <w:rPr>
        <w:color w:val="3370FF"/>
      </w:rPr>
    </w:lvl>
  </w:abstractNum>
  <w:abstractNum w:abstractNumId="21">
    <w:nsid w:val="D7F9FE59"/>
    <w:multiLevelType w:val="singleLevel"/>
    <w:tmpl w:val="D7F9FE59"/>
    <w:lvl w:ilvl="0" w:tentative="0">
      <w:start w:val="5"/>
      <w:numFmt w:val="decimal"/>
      <w:lvlText w:val="%1."/>
      <w:lvlJc w:val="left"/>
      <w:rPr>
        <w:color w:val="3370FF"/>
      </w:rPr>
    </w:lvl>
  </w:abstractNum>
  <w:abstractNum w:abstractNumId="22">
    <w:nsid w:val="DCBA6B53"/>
    <w:multiLevelType w:val="singleLevel"/>
    <w:tmpl w:val="DCBA6B53"/>
    <w:lvl w:ilvl="0" w:tentative="0">
      <w:start w:val="4"/>
      <w:numFmt w:val="decimal"/>
      <w:lvlText w:val="%1."/>
      <w:lvlJc w:val="left"/>
      <w:rPr>
        <w:color w:val="3370FF"/>
      </w:rPr>
    </w:lvl>
  </w:abstractNum>
  <w:abstractNum w:abstractNumId="23">
    <w:nsid w:val="E093A4B0"/>
    <w:multiLevelType w:val="singleLevel"/>
    <w:tmpl w:val="E093A4B0"/>
    <w:lvl w:ilvl="0" w:tentative="0">
      <w:start w:val="5"/>
      <w:numFmt w:val="decimal"/>
      <w:lvlText w:val="%1."/>
      <w:lvlJc w:val="left"/>
      <w:rPr>
        <w:color w:val="3370FF"/>
      </w:rPr>
    </w:lvl>
  </w:abstractNum>
  <w:abstractNum w:abstractNumId="24">
    <w:nsid w:val="E504947C"/>
    <w:multiLevelType w:val="singleLevel"/>
    <w:tmpl w:val="E504947C"/>
    <w:lvl w:ilvl="0" w:tentative="0">
      <w:start w:val="2"/>
      <w:numFmt w:val="decimal"/>
      <w:lvlText w:val="%1."/>
      <w:lvlJc w:val="left"/>
      <w:rPr>
        <w:color w:val="3370FF"/>
      </w:rPr>
    </w:lvl>
  </w:abstractNum>
  <w:abstractNum w:abstractNumId="25">
    <w:nsid w:val="F0E89278"/>
    <w:multiLevelType w:val="singleLevel"/>
    <w:tmpl w:val="F0E89278"/>
    <w:lvl w:ilvl="0" w:tentative="0">
      <w:start w:val="2"/>
      <w:numFmt w:val="decimal"/>
      <w:lvlText w:val="%1."/>
      <w:lvlJc w:val="left"/>
      <w:rPr>
        <w:color w:val="3370FF"/>
      </w:rPr>
    </w:lvl>
  </w:abstractNum>
  <w:abstractNum w:abstractNumId="26">
    <w:nsid w:val="F4B5D9F5"/>
    <w:multiLevelType w:val="singleLevel"/>
    <w:tmpl w:val="F4B5D9F5"/>
    <w:lvl w:ilvl="0" w:tentative="0">
      <w:start w:val="2"/>
      <w:numFmt w:val="decimal"/>
      <w:lvlText w:val="%1."/>
      <w:lvlJc w:val="left"/>
      <w:rPr>
        <w:color w:val="3370FF"/>
      </w:rPr>
    </w:lvl>
  </w:abstractNum>
  <w:abstractNum w:abstractNumId="27">
    <w:nsid w:val="F689643B"/>
    <w:multiLevelType w:val="singleLevel"/>
    <w:tmpl w:val="F689643B"/>
    <w:lvl w:ilvl="0" w:tentative="0">
      <w:start w:val="2"/>
      <w:numFmt w:val="decimal"/>
      <w:lvlText w:val="%1."/>
      <w:lvlJc w:val="left"/>
      <w:rPr>
        <w:color w:val="3370FF"/>
      </w:rPr>
    </w:lvl>
  </w:abstractNum>
  <w:abstractNum w:abstractNumId="28">
    <w:nsid w:val="F7735DC9"/>
    <w:multiLevelType w:val="singleLevel"/>
    <w:tmpl w:val="F7735DC9"/>
    <w:lvl w:ilvl="0" w:tentative="0">
      <w:start w:val="4"/>
      <w:numFmt w:val="decimal"/>
      <w:lvlText w:val="%1."/>
      <w:lvlJc w:val="left"/>
      <w:rPr>
        <w:color w:val="3370FF"/>
      </w:rPr>
    </w:lvl>
  </w:abstractNum>
  <w:abstractNum w:abstractNumId="29">
    <w:nsid w:val="FEC2EA36"/>
    <w:multiLevelType w:val="singleLevel"/>
    <w:tmpl w:val="FEC2EA36"/>
    <w:lvl w:ilvl="0" w:tentative="0">
      <w:start w:val="2"/>
      <w:numFmt w:val="decimal"/>
      <w:lvlText w:val="%1."/>
      <w:lvlJc w:val="left"/>
      <w:rPr>
        <w:color w:val="3370FF"/>
      </w:rPr>
    </w:lvl>
  </w:abstractNum>
  <w:abstractNum w:abstractNumId="30">
    <w:nsid w:val="0053208E"/>
    <w:multiLevelType w:val="singleLevel"/>
    <w:tmpl w:val="0053208E"/>
    <w:lvl w:ilvl="0" w:tentative="0">
      <w:start w:val="1"/>
      <w:numFmt w:val="decimal"/>
      <w:lvlText w:val="%1."/>
      <w:lvlJc w:val="left"/>
      <w:rPr>
        <w:color w:val="3370FF"/>
      </w:rPr>
    </w:lvl>
  </w:abstractNum>
  <w:abstractNum w:abstractNumId="31">
    <w:nsid w:val="0248C179"/>
    <w:multiLevelType w:val="singleLevel"/>
    <w:tmpl w:val="0248C179"/>
    <w:lvl w:ilvl="0" w:tentative="0">
      <w:start w:val="2"/>
      <w:numFmt w:val="decimal"/>
      <w:lvlText w:val="%1."/>
      <w:lvlJc w:val="left"/>
      <w:rPr>
        <w:color w:val="3370FF"/>
      </w:rPr>
    </w:lvl>
  </w:abstractNum>
  <w:abstractNum w:abstractNumId="32">
    <w:nsid w:val="03A63A41"/>
    <w:multiLevelType w:val="singleLevel"/>
    <w:tmpl w:val="03A63A41"/>
    <w:lvl w:ilvl="0" w:tentative="0">
      <w:start w:val="3"/>
      <w:numFmt w:val="decimal"/>
      <w:lvlText w:val="%1."/>
      <w:lvlJc w:val="left"/>
      <w:rPr>
        <w:color w:val="3370FF"/>
      </w:rPr>
    </w:lvl>
  </w:abstractNum>
  <w:abstractNum w:abstractNumId="33">
    <w:nsid w:val="03D62ECE"/>
    <w:multiLevelType w:val="singleLevel"/>
    <w:tmpl w:val="03D62ECE"/>
    <w:lvl w:ilvl="0" w:tentative="0">
      <w:start w:val="1"/>
      <w:numFmt w:val="decimal"/>
      <w:lvlText w:val="%1."/>
      <w:lvlJc w:val="left"/>
      <w:rPr>
        <w:color w:val="3370FF"/>
      </w:rPr>
    </w:lvl>
  </w:abstractNum>
  <w:abstractNum w:abstractNumId="34">
    <w:nsid w:val="0709FD3E"/>
    <w:multiLevelType w:val="singleLevel"/>
    <w:tmpl w:val="0709FD3E"/>
    <w:lvl w:ilvl="0" w:tentative="0">
      <w:start w:val="2"/>
      <w:numFmt w:val="decimal"/>
      <w:lvlText w:val="%1."/>
      <w:lvlJc w:val="left"/>
      <w:rPr>
        <w:color w:val="3370FF"/>
      </w:rPr>
    </w:lvl>
  </w:abstractNum>
  <w:abstractNum w:abstractNumId="35">
    <w:nsid w:val="0CEF100B"/>
    <w:multiLevelType w:val="singleLevel"/>
    <w:tmpl w:val="0CEF100B"/>
    <w:lvl w:ilvl="0" w:tentative="0">
      <w:start w:val="3"/>
      <w:numFmt w:val="decimal"/>
      <w:lvlText w:val="%1."/>
      <w:lvlJc w:val="left"/>
      <w:rPr>
        <w:color w:val="3370FF"/>
      </w:rPr>
    </w:lvl>
  </w:abstractNum>
  <w:abstractNum w:abstractNumId="36">
    <w:nsid w:val="0E640482"/>
    <w:multiLevelType w:val="singleLevel"/>
    <w:tmpl w:val="0E640482"/>
    <w:lvl w:ilvl="0" w:tentative="0">
      <w:start w:val="1"/>
      <w:numFmt w:val="decimal"/>
      <w:lvlText w:val="%1."/>
      <w:lvlJc w:val="left"/>
      <w:rPr>
        <w:color w:val="3370FF"/>
      </w:rPr>
    </w:lvl>
  </w:abstractNum>
  <w:abstractNum w:abstractNumId="37">
    <w:nsid w:val="0F9F9CCA"/>
    <w:multiLevelType w:val="singleLevel"/>
    <w:tmpl w:val="0F9F9CCA"/>
    <w:lvl w:ilvl="0" w:tentative="0">
      <w:start w:val="1"/>
      <w:numFmt w:val="decimal"/>
      <w:lvlText w:val="%1."/>
      <w:lvlJc w:val="left"/>
      <w:rPr>
        <w:color w:val="3370FF"/>
      </w:rPr>
    </w:lvl>
  </w:abstractNum>
  <w:abstractNum w:abstractNumId="38">
    <w:nsid w:val="12EADF99"/>
    <w:multiLevelType w:val="singleLevel"/>
    <w:tmpl w:val="12EADF99"/>
    <w:lvl w:ilvl="0" w:tentative="0">
      <w:start w:val="1"/>
      <w:numFmt w:val="decimal"/>
      <w:lvlText w:val="%1."/>
      <w:lvlJc w:val="left"/>
      <w:rPr>
        <w:color w:val="3370FF"/>
      </w:rPr>
    </w:lvl>
  </w:abstractNum>
  <w:abstractNum w:abstractNumId="39">
    <w:nsid w:val="18F74015"/>
    <w:multiLevelType w:val="singleLevel"/>
    <w:tmpl w:val="18F74015"/>
    <w:lvl w:ilvl="0" w:tentative="0">
      <w:start w:val="3"/>
      <w:numFmt w:val="decimal"/>
      <w:lvlText w:val="%1."/>
      <w:lvlJc w:val="left"/>
      <w:rPr>
        <w:color w:val="3370FF"/>
      </w:rPr>
    </w:lvl>
  </w:abstractNum>
  <w:abstractNum w:abstractNumId="40">
    <w:nsid w:val="1ACDE60F"/>
    <w:multiLevelType w:val="singleLevel"/>
    <w:tmpl w:val="1ACDE60F"/>
    <w:lvl w:ilvl="0" w:tentative="0">
      <w:start w:val="2"/>
      <w:numFmt w:val="decimal"/>
      <w:lvlText w:val="%1."/>
      <w:lvlJc w:val="left"/>
      <w:rPr>
        <w:color w:val="3370FF"/>
      </w:rPr>
    </w:lvl>
  </w:abstractNum>
  <w:abstractNum w:abstractNumId="41">
    <w:nsid w:val="1C257C7B"/>
    <w:multiLevelType w:val="singleLevel"/>
    <w:tmpl w:val="1C257C7B"/>
    <w:lvl w:ilvl="0" w:tentative="0">
      <w:start w:val="1"/>
      <w:numFmt w:val="decimal"/>
      <w:lvlText w:val="%1."/>
      <w:lvlJc w:val="left"/>
      <w:rPr>
        <w:color w:val="3370FF"/>
      </w:rPr>
    </w:lvl>
  </w:abstractNum>
  <w:abstractNum w:abstractNumId="42">
    <w:nsid w:val="23E97754"/>
    <w:multiLevelType w:val="singleLevel"/>
    <w:tmpl w:val="23E97754"/>
    <w:lvl w:ilvl="0" w:tentative="0">
      <w:start w:val="3"/>
      <w:numFmt w:val="decimal"/>
      <w:lvlText w:val="%1."/>
      <w:lvlJc w:val="left"/>
      <w:rPr>
        <w:color w:val="3370FF"/>
      </w:rPr>
    </w:lvl>
  </w:abstractNum>
  <w:abstractNum w:abstractNumId="43">
    <w:nsid w:val="243FCF68"/>
    <w:multiLevelType w:val="singleLevel"/>
    <w:tmpl w:val="243FCF68"/>
    <w:lvl w:ilvl="0" w:tentative="0">
      <w:start w:val="2"/>
      <w:numFmt w:val="decimal"/>
      <w:lvlText w:val="%1."/>
      <w:lvlJc w:val="left"/>
      <w:rPr>
        <w:color w:val="3370FF"/>
      </w:rPr>
    </w:lvl>
  </w:abstractNum>
  <w:abstractNum w:abstractNumId="44">
    <w:nsid w:val="2470EC97"/>
    <w:multiLevelType w:val="singleLevel"/>
    <w:tmpl w:val="2470EC97"/>
    <w:lvl w:ilvl="0" w:tentative="0">
      <w:start w:val="3"/>
      <w:numFmt w:val="decimal"/>
      <w:lvlText w:val="%1."/>
      <w:lvlJc w:val="left"/>
      <w:rPr>
        <w:color w:val="3370FF"/>
      </w:rPr>
    </w:lvl>
  </w:abstractNum>
  <w:abstractNum w:abstractNumId="45">
    <w:nsid w:val="25B654F3"/>
    <w:multiLevelType w:val="singleLevel"/>
    <w:tmpl w:val="25B654F3"/>
    <w:lvl w:ilvl="0" w:tentative="0">
      <w:start w:val="2"/>
      <w:numFmt w:val="decimal"/>
      <w:lvlText w:val="%1."/>
      <w:lvlJc w:val="left"/>
      <w:rPr>
        <w:color w:val="3370FF"/>
      </w:rPr>
    </w:lvl>
  </w:abstractNum>
  <w:abstractNum w:abstractNumId="46">
    <w:nsid w:val="2A8F537B"/>
    <w:multiLevelType w:val="singleLevel"/>
    <w:tmpl w:val="2A8F537B"/>
    <w:lvl w:ilvl="0" w:tentative="0">
      <w:start w:val="1"/>
      <w:numFmt w:val="decimal"/>
      <w:lvlText w:val="%1."/>
      <w:lvlJc w:val="left"/>
      <w:rPr>
        <w:color w:val="3370FF"/>
      </w:rPr>
    </w:lvl>
  </w:abstractNum>
  <w:abstractNum w:abstractNumId="47">
    <w:nsid w:val="30A0AC00"/>
    <w:multiLevelType w:val="singleLevel"/>
    <w:tmpl w:val="30A0AC00"/>
    <w:lvl w:ilvl="0" w:tentative="0">
      <w:start w:val="1"/>
      <w:numFmt w:val="decimal"/>
      <w:lvlText w:val="%1."/>
      <w:lvlJc w:val="left"/>
      <w:rPr>
        <w:color w:val="3370FF"/>
      </w:rPr>
    </w:lvl>
  </w:abstractNum>
  <w:abstractNum w:abstractNumId="48">
    <w:nsid w:val="30FC5B15"/>
    <w:multiLevelType w:val="singleLevel"/>
    <w:tmpl w:val="30FC5B15"/>
    <w:lvl w:ilvl="0" w:tentative="0">
      <w:start w:val="6"/>
      <w:numFmt w:val="decimal"/>
      <w:lvlText w:val="%1."/>
      <w:lvlJc w:val="left"/>
      <w:rPr>
        <w:color w:val="3370FF"/>
      </w:rPr>
    </w:lvl>
  </w:abstractNum>
  <w:abstractNum w:abstractNumId="49">
    <w:nsid w:val="322D85CA"/>
    <w:multiLevelType w:val="singleLevel"/>
    <w:tmpl w:val="322D85CA"/>
    <w:lvl w:ilvl="0" w:tentative="0">
      <w:start w:val="3"/>
      <w:numFmt w:val="decimal"/>
      <w:lvlText w:val="%1."/>
      <w:lvlJc w:val="left"/>
      <w:rPr>
        <w:color w:val="3370FF"/>
      </w:rPr>
    </w:lvl>
  </w:abstractNum>
  <w:abstractNum w:abstractNumId="50">
    <w:nsid w:val="32A7AF2D"/>
    <w:multiLevelType w:val="singleLevel"/>
    <w:tmpl w:val="32A7AF2D"/>
    <w:lvl w:ilvl="0" w:tentative="0">
      <w:start w:val="5"/>
      <w:numFmt w:val="decimal"/>
      <w:lvlText w:val="%1."/>
      <w:lvlJc w:val="left"/>
      <w:rPr>
        <w:color w:val="3370FF"/>
      </w:rPr>
    </w:lvl>
  </w:abstractNum>
  <w:abstractNum w:abstractNumId="51">
    <w:nsid w:val="35E83B33"/>
    <w:multiLevelType w:val="singleLevel"/>
    <w:tmpl w:val="35E83B33"/>
    <w:lvl w:ilvl="0" w:tentative="0">
      <w:start w:val="2"/>
      <w:numFmt w:val="decimal"/>
      <w:lvlText w:val="%1."/>
      <w:lvlJc w:val="left"/>
      <w:rPr>
        <w:color w:val="3370FF"/>
      </w:rPr>
    </w:lvl>
  </w:abstractNum>
  <w:abstractNum w:abstractNumId="52">
    <w:nsid w:val="39A0D9AC"/>
    <w:multiLevelType w:val="singleLevel"/>
    <w:tmpl w:val="39A0D9AC"/>
    <w:lvl w:ilvl="0" w:tentative="0">
      <w:start w:val="1"/>
      <w:numFmt w:val="decimal"/>
      <w:lvlText w:val="%1."/>
      <w:lvlJc w:val="left"/>
      <w:rPr>
        <w:color w:val="3370FF"/>
      </w:rPr>
    </w:lvl>
  </w:abstractNum>
  <w:abstractNum w:abstractNumId="53">
    <w:nsid w:val="3B8127DF"/>
    <w:multiLevelType w:val="singleLevel"/>
    <w:tmpl w:val="3B8127DF"/>
    <w:lvl w:ilvl="0" w:tentative="0">
      <w:start w:val="3"/>
      <w:numFmt w:val="decimal"/>
      <w:lvlText w:val="%1."/>
      <w:lvlJc w:val="left"/>
      <w:rPr>
        <w:color w:val="3370FF"/>
      </w:rPr>
    </w:lvl>
  </w:abstractNum>
  <w:abstractNum w:abstractNumId="54">
    <w:nsid w:val="40B249F9"/>
    <w:multiLevelType w:val="singleLevel"/>
    <w:tmpl w:val="40B249F9"/>
    <w:lvl w:ilvl="0" w:tentative="0">
      <w:start w:val="2"/>
      <w:numFmt w:val="decimal"/>
      <w:lvlText w:val="%1."/>
      <w:lvlJc w:val="left"/>
      <w:rPr>
        <w:color w:val="3370FF"/>
      </w:rPr>
    </w:lvl>
  </w:abstractNum>
  <w:abstractNum w:abstractNumId="55">
    <w:nsid w:val="46A08BB8"/>
    <w:multiLevelType w:val="singleLevel"/>
    <w:tmpl w:val="46A08BB8"/>
    <w:lvl w:ilvl="0" w:tentative="0">
      <w:start w:val="2"/>
      <w:numFmt w:val="decimal"/>
      <w:lvlText w:val="%1."/>
      <w:lvlJc w:val="left"/>
      <w:rPr>
        <w:color w:val="3370FF"/>
      </w:rPr>
    </w:lvl>
  </w:abstractNum>
  <w:abstractNum w:abstractNumId="56">
    <w:nsid w:val="4C1BAE26"/>
    <w:multiLevelType w:val="singleLevel"/>
    <w:tmpl w:val="4C1BAE26"/>
    <w:lvl w:ilvl="0" w:tentative="0">
      <w:start w:val="7"/>
      <w:numFmt w:val="decimal"/>
      <w:lvlText w:val="%1."/>
      <w:lvlJc w:val="left"/>
      <w:rPr>
        <w:color w:val="3370FF"/>
      </w:rPr>
    </w:lvl>
  </w:abstractNum>
  <w:abstractNum w:abstractNumId="57">
    <w:nsid w:val="4C3D7A74"/>
    <w:multiLevelType w:val="singleLevel"/>
    <w:tmpl w:val="4C3D7A74"/>
    <w:lvl w:ilvl="0" w:tentative="0">
      <w:start w:val="2"/>
      <w:numFmt w:val="decimal"/>
      <w:lvlText w:val="%1."/>
      <w:lvlJc w:val="left"/>
      <w:rPr>
        <w:color w:val="3370FF"/>
      </w:rPr>
    </w:lvl>
  </w:abstractNum>
  <w:abstractNum w:abstractNumId="58">
    <w:nsid w:val="4D4DC07F"/>
    <w:multiLevelType w:val="singleLevel"/>
    <w:tmpl w:val="4D4DC07F"/>
    <w:lvl w:ilvl="0" w:tentative="0">
      <w:start w:val="1"/>
      <w:numFmt w:val="decimal"/>
      <w:lvlText w:val="%1."/>
      <w:lvlJc w:val="left"/>
      <w:rPr>
        <w:color w:val="3370FF"/>
      </w:rPr>
    </w:lvl>
  </w:abstractNum>
  <w:abstractNum w:abstractNumId="59">
    <w:nsid w:val="4D94DA66"/>
    <w:multiLevelType w:val="singleLevel"/>
    <w:tmpl w:val="4D94DA66"/>
    <w:lvl w:ilvl="0" w:tentative="0">
      <w:start w:val="3"/>
      <w:numFmt w:val="decimal"/>
      <w:lvlText w:val="%1."/>
      <w:lvlJc w:val="left"/>
      <w:rPr>
        <w:color w:val="3370FF"/>
      </w:rPr>
    </w:lvl>
  </w:abstractNum>
  <w:abstractNum w:abstractNumId="60">
    <w:nsid w:val="58765686"/>
    <w:multiLevelType w:val="singleLevel"/>
    <w:tmpl w:val="58765686"/>
    <w:lvl w:ilvl="0" w:tentative="0">
      <w:start w:val="3"/>
      <w:numFmt w:val="decimal"/>
      <w:lvlText w:val="%1."/>
      <w:lvlJc w:val="left"/>
      <w:rPr>
        <w:color w:val="3370FF"/>
      </w:rPr>
    </w:lvl>
  </w:abstractNum>
  <w:abstractNum w:abstractNumId="61">
    <w:nsid w:val="59ADCABA"/>
    <w:multiLevelType w:val="singleLevel"/>
    <w:tmpl w:val="59ADCABA"/>
    <w:lvl w:ilvl="0" w:tentative="0">
      <w:start w:val="3"/>
      <w:numFmt w:val="decimal"/>
      <w:lvlText w:val="%1."/>
      <w:lvlJc w:val="left"/>
      <w:rPr>
        <w:color w:val="3370FF"/>
      </w:rPr>
    </w:lvl>
  </w:abstractNum>
  <w:abstractNum w:abstractNumId="62">
    <w:nsid w:val="5A241D34"/>
    <w:multiLevelType w:val="singleLevel"/>
    <w:tmpl w:val="5A241D34"/>
    <w:lvl w:ilvl="0" w:tentative="0">
      <w:start w:val="2"/>
      <w:numFmt w:val="decimal"/>
      <w:lvlText w:val="%1."/>
      <w:lvlJc w:val="left"/>
      <w:rPr>
        <w:color w:val="3370FF"/>
      </w:rPr>
    </w:lvl>
  </w:abstractNum>
  <w:abstractNum w:abstractNumId="63">
    <w:nsid w:val="5E29AB5A"/>
    <w:multiLevelType w:val="singleLevel"/>
    <w:tmpl w:val="5E29AB5A"/>
    <w:lvl w:ilvl="0" w:tentative="0">
      <w:start w:val="5"/>
      <w:numFmt w:val="decimal"/>
      <w:lvlText w:val="%1."/>
      <w:lvlJc w:val="left"/>
      <w:rPr>
        <w:color w:val="3370FF"/>
      </w:rPr>
    </w:lvl>
  </w:abstractNum>
  <w:abstractNum w:abstractNumId="64">
    <w:nsid w:val="5FFFB1A7"/>
    <w:multiLevelType w:val="singleLevel"/>
    <w:tmpl w:val="5FFFB1A7"/>
    <w:lvl w:ilvl="0" w:tentative="0">
      <w:start w:val="4"/>
      <w:numFmt w:val="decimal"/>
      <w:lvlText w:val="%1."/>
      <w:lvlJc w:val="left"/>
      <w:rPr>
        <w:color w:val="3370FF"/>
      </w:rPr>
    </w:lvl>
  </w:abstractNum>
  <w:abstractNum w:abstractNumId="65">
    <w:nsid w:val="60382F6E"/>
    <w:multiLevelType w:val="singleLevel"/>
    <w:tmpl w:val="60382F6E"/>
    <w:lvl w:ilvl="0" w:tentative="0">
      <w:start w:val="8"/>
      <w:numFmt w:val="decimal"/>
      <w:lvlText w:val="%1."/>
      <w:lvlJc w:val="left"/>
      <w:rPr>
        <w:color w:val="3370FF"/>
      </w:rPr>
    </w:lvl>
  </w:abstractNum>
  <w:abstractNum w:abstractNumId="66">
    <w:nsid w:val="629F7852"/>
    <w:multiLevelType w:val="singleLevel"/>
    <w:tmpl w:val="629F7852"/>
    <w:lvl w:ilvl="0" w:tentative="0">
      <w:start w:val="4"/>
      <w:numFmt w:val="decimal"/>
      <w:lvlText w:val="%1."/>
      <w:lvlJc w:val="left"/>
      <w:rPr>
        <w:color w:val="3370FF"/>
      </w:rPr>
    </w:lvl>
  </w:abstractNum>
  <w:abstractNum w:abstractNumId="67">
    <w:nsid w:val="65CD0074"/>
    <w:multiLevelType w:val="singleLevel"/>
    <w:tmpl w:val="65CD0074"/>
    <w:lvl w:ilvl="0" w:tentative="0">
      <w:start w:val="1"/>
      <w:numFmt w:val="decimal"/>
      <w:lvlText w:val="%1."/>
      <w:lvlJc w:val="left"/>
      <w:rPr>
        <w:color w:val="3370FF"/>
      </w:rPr>
    </w:lvl>
  </w:abstractNum>
  <w:abstractNum w:abstractNumId="68">
    <w:nsid w:val="700FDCEF"/>
    <w:multiLevelType w:val="singleLevel"/>
    <w:tmpl w:val="700FDCEF"/>
    <w:lvl w:ilvl="0" w:tentative="0">
      <w:start w:val="1"/>
      <w:numFmt w:val="decimal"/>
      <w:lvlText w:val="%1."/>
      <w:lvlJc w:val="left"/>
      <w:rPr>
        <w:color w:val="3370FF"/>
      </w:rPr>
    </w:lvl>
  </w:abstractNum>
  <w:abstractNum w:abstractNumId="69">
    <w:nsid w:val="72183CF9"/>
    <w:multiLevelType w:val="singleLevel"/>
    <w:tmpl w:val="72183CF9"/>
    <w:lvl w:ilvl="0" w:tentative="0">
      <w:start w:val="1"/>
      <w:numFmt w:val="decimal"/>
      <w:lvlText w:val="%1."/>
      <w:lvlJc w:val="left"/>
      <w:rPr>
        <w:color w:val="3370FF"/>
      </w:rPr>
    </w:lvl>
  </w:abstractNum>
  <w:abstractNum w:abstractNumId="70">
    <w:nsid w:val="74C28B35"/>
    <w:multiLevelType w:val="singleLevel"/>
    <w:tmpl w:val="74C28B35"/>
    <w:lvl w:ilvl="0" w:tentative="0">
      <w:start w:val="1"/>
      <w:numFmt w:val="decimal"/>
      <w:lvlText w:val="%1."/>
      <w:lvlJc w:val="left"/>
      <w:rPr>
        <w:color w:val="3370FF"/>
      </w:rPr>
    </w:lvl>
  </w:abstractNum>
  <w:abstractNum w:abstractNumId="71">
    <w:nsid w:val="77ECEA79"/>
    <w:multiLevelType w:val="singleLevel"/>
    <w:tmpl w:val="77ECEA79"/>
    <w:lvl w:ilvl="0" w:tentative="0">
      <w:start w:val="2"/>
      <w:numFmt w:val="decimal"/>
      <w:lvlText w:val="%1."/>
      <w:lvlJc w:val="left"/>
      <w:rPr>
        <w:color w:val="3370FF"/>
      </w:rPr>
    </w:lvl>
  </w:abstractNum>
  <w:abstractNum w:abstractNumId="72">
    <w:nsid w:val="79AA4FA4"/>
    <w:multiLevelType w:val="singleLevel"/>
    <w:tmpl w:val="79AA4FA4"/>
    <w:lvl w:ilvl="0" w:tentative="0">
      <w:start w:val="1"/>
      <w:numFmt w:val="decimal"/>
      <w:lvlText w:val="%1."/>
      <w:lvlJc w:val="left"/>
      <w:rPr>
        <w:color w:val="3370FF"/>
      </w:rPr>
    </w:lvl>
  </w:abstractNum>
  <w:abstractNum w:abstractNumId="73">
    <w:nsid w:val="7C246926"/>
    <w:multiLevelType w:val="singleLevel"/>
    <w:tmpl w:val="7C246926"/>
    <w:lvl w:ilvl="0" w:tentative="0">
      <w:start w:val="1"/>
      <w:numFmt w:val="decimal"/>
      <w:lvlText w:val="%1."/>
      <w:lvlJc w:val="left"/>
      <w:rPr>
        <w:color w:val="3370FF"/>
      </w:rPr>
    </w:lvl>
  </w:abstractNum>
  <w:abstractNum w:abstractNumId="74">
    <w:nsid w:val="7DEC2089"/>
    <w:multiLevelType w:val="singleLevel"/>
    <w:tmpl w:val="7DEC2089"/>
    <w:lvl w:ilvl="0" w:tentative="0">
      <w:start w:val="4"/>
      <w:numFmt w:val="decimal"/>
      <w:lvlText w:val="%1."/>
      <w:lvlJc w:val="left"/>
      <w:rPr>
        <w:color w:val="3370FF"/>
      </w:rPr>
    </w:lvl>
  </w:abstractNum>
  <w:num w:numId="1">
    <w:abstractNumId w:val="30"/>
  </w:num>
  <w:num w:numId="2">
    <w:abstractNumId w:val="19"/>
  </w:num>
  <w:num w:numId="3">
    <w:abstractNumId w:val="61"/>
  </w:num>
  <w:num w:numId="4">
    <w:abstractNumId w:val="16"/>
  </w:num>
  <w:num w:numId="5">
    <w:abstractNumId w:val="12"/>
  </w:num>
  <w:num w:numId="6">
    <w:abstractNumId w:val="33"/>
  </w:num>
  <w:num w:numId="7">
    <w:abstractNumId w:val="45"/>
  </w:num>
  <w:num w:numId="8">
    <w:abstractNumId w:val="69"/>
  </w:num>
  <w:num w:numId="9">
    <w:abstractNumId w:val="31"/>
  </w:num>
  <w:num w:numId="10">
    <w:abstractNumId w:val="5"/>
  </w:num>
  <w:num w:numId="11">
    <w:abstractNumId w:val="46"/>
  </w:num>
  <w:num w:numId="12">
    <w:abstractNumId w:val="62"/>
  </w:num>
  <w:num w:numId="13">
    <w:abstractNumId w:val="18"/>
  </w:num>
  <w:num w:numId="14">
    <w:abstractNumId w:val="58"/>
  </w:num>
  <w:num w:numId="15">
    <w:abstractNumId w:val="26"/>
  </w:num>
  <w:num w:numId="16">
    <w:abstractNumId w:val="44"/>
  </w:num>
  <w:num w:numId="17">
    <w:abstractNumId w:val="22"/>
  </w:num>
  <w:num w:numId="18">
    <w:abstractNumId w:val="21"/>
  </w:num>
  <w:num w:numId="19">
    <w:abstractNumId w:val="7"/>
  </w:num>
  <w:num w:numId="20">
    <w:abstractNumId w:val="56"/>
  </w:num>
  <w:num w:numId="21">
    <w:abstractNumId w:val="65"/>
  </w:num>
  <w:num w:numId="22">
    <w:abstractNumId w:val="36"/>
  </w:num>
  <w:num w:numId="23">
    <w:abstractNumId w:val="55"/>
  </w:num>
  <w:num w:numId="24">
    <w:abstractNumId w:val="9"/>
  </w:num>
  <w:num w:numId="25">
    <w:abstractNumId w:val="73"/>
  </w:num>
  <w:num w:numId="26">
    <w:abstractNumId w:val="71"/>
  </w:num>
  <w:num w:numId="27">
    <w:abstractNumId w:val="15"/>
  </w:num>
  <w:num w:numId="28">
    <w:abstractNumId w:val="66"/>
  </w:num>
  <w:num w:numId="29">
    <w:abstractNumId w:val="6"/>
  </w:num>
  <w:num w:numId="30">
    <w:abstractNumId w:val="52"/>
  </w:num>
  <w:num w:numId="31">
    <w:abstractNumId w:val="2"/>
  </w:num>
  <w:num w:numId="32">
    <w:abstractNumId w:val="60"/>
  </w:num>
  <w:num w:numId="33">
    <w:abstractNumId w:val="74"/>
  </w:num>
  <w:num w:numId="34">
    <w:abstractNumId w:val="0"/>
  </w:num>
  <w:num w:numId="35">
    <w:abstractNumId w:val="43"/>
  </w:num>
  <w:num w:numId="36">
    <w:abstractNumId w:val="59"/>
  </w:num>
  <w:num w:numId="37">
    <w:abstractNumId w:val="28"/>
  </w:num>
  <w:num w:numId="38">
    <w:abstractNumId w:val="23"/>
  </w:num>
  <w:num w:numId="39">
    <w:abstractNumId w:val="48"/>
  </w:num>
  <w:num w:numId="40">
    <w:abstractNumId w:val="72"/>
  </w:num>
  <w:num w:numId="41">
    <w:abstractNumId w:val="14"/>
  </w:num>
  <w:num w:numId="42">
    <w:abstractNumId w:val="4"/>
  </w:num>
  <w:num w:numId="43">
    <w:abstractNumId w:val="13"/>
  </w:num>
  <w:num w:numId="44">
    <w:abstractNumId w:val="63"/>
  </w:num>
  <w:num w:numId="45">
    <w:abstractNumId w:val="1"/>
  </w:num>
  <w:num w:numId="46">
    <w:abstractNumId w:val="40"/>
  </w:num>
  <w:num w:numId="47">
    <w:abstractNumId w:val="3"/>
  </w:num>
  <w:num w:numId="48">
    <w:abstractNumId w:val="64"/>
  </w:num>
  <w:num w:numId="49">
    <w:abstractNumId w:val="70"/>
  </w:num>
  <w:num w:numId="50">
    <w:abstractNumId w:val="57"/>
  </w:num>
  <w:num w:numId="51">
    <w:abstractNumId w:val="49"/>
  </w:num>
  <w:num w:numId="52">
    <w:abstractNumId w:val="67"/>
  </w:num>
  <w:num w:numId="53">
    <w:abstractNumId w:val="34"/>
  </w:num>
  <w:num w:numId="54">
    <w:abstractNumId w:val="35"/>
  </w:num>
  <w:num w:numId="55">
    <w:abstractNumId w:val="20"/>
  </w:num>
  <w:num w:numId="56">
    <w:abstractNumId w:val="50"/>
  </w:num>
  <w:num w:numId="57">
    <w:abstractNumId w:val="41"/>
  </w:num>
  <w:num w:numId="58">
    <w:abstractNumId w:val="25"/>
  </w:num>
  <w:num w:numId="59">
    <w:abstractNumId w:val="42"/>
  </w:num>
  <w:num w:numId="60">
    <w:abstractNumId w:val="11"/>
  </w:num>
  <w:num w:numId="61">
    <w:abstractNumId w:val="54"/>
  </w:num>
  <w:num w:numId="62">
    <w:abstractNumId w:val="37"/>
  </w:num>
  <w:num w:numId="63">
    <w:abstractNumId w:val="51"/>
  </w:num>
  <w:num w:numId="64">
    <w:abstractNumId w:val="32"/>
  </w:num>
  <w:num w:numId="65">
    <w:abstractNumId w:val="17"/>
  </w:num>
  <w:num w:numId="66">
    <w:abstractNumId w:val="38"/>
  </w:num>
  <w:num w:numId="67">
    <w:abstractNumId w:val="10"/>
  </w:num>
  <w:num w:numId="68">
    <w:abstractNumId w:val="53"/>
  </w:num>
  <w:num w:numId="69">
    <w:abstractNumId w:val="8"/>
  </w:num>
  <w:num w:numId="70">
    <w:abstractNumId w:val="27"/>
  </w:num>
  <w:num w:numId="71">
    <w:abstractNumId w:val="47"/>
  </w:num>
  <w:num w:numId="72">
    <w:abstractNumId w:val="29"/>
  </w:num>
  <w:num w:numId="73">
    <w:abstractNumId w:val="39"/>
  </w:num>
  <w:num w:numId="74">
    <w:abstractNumId w:val="68"/>
  </w:num>
  <w:num w:numId="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177424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TotalTime>0</TotalTime>
  <ScaleCrop>false</ScaleCrop>
  <LinksUpToDate>false</LinksUpToDate>
  <Application>WPS Office_12.8.2.20324_F1E327BC-269C-435d-A152-05C5408002CA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2026-01-28T02:16:00Z</dcterms:created>
  <dc:creator>Apache POI</dc:creator>
  <cp:lastModifiedBy>Administrator</cp:lastModifiedBy>
  <dcterms:modified xsi:type="dcterms:W3CDTF">2026-01-28T02:29:05Z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72F748F800114D09A0FA8470D71C001E_12</vt:lpwstr>
  </property>
</Properties>
</file>