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AB5C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民族宗教局服务窗口管理制度</w:t>
      </w:r>
    </w:p>
    <w:p w14:paraId="0D965564">
      <w:pPr>
        <w:spacing w:before="300" w:after="120" w:line="288" w:lineRule="auto"/>
        <w:ind w:left="0"/>
        <w:jc w:val="center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第一章 总则</w:t>
      </w:r>
      <w:bookmarkEnd w:id="0"/>
    </w:p>
    <w:p w14:paraId="7BA93C18">
      <w:pPr>
        <w:spacing w:before="260" w:after="120" w:line="288" w:lineRule="auto"/>
        <w:ind w:left="0"/>
        <w:jc w:val="left"/>
        <w:outlineLvl w:val="3"/>
      </w:pPr>
      <w:bookmarkStart w:id="1" w:name="heading_1"/>
      <w:r>
        <w:rPr>
          <w:rFonts w:ascii="Arial" w:hAnsi="Arial" w:eastAsia="等线" w:cs="Arial"/>
          <w:b/>
          <w:sz w:val="28"/>
        </w:rPr>
        <w:t>第一条 制定目的</w:t>
      </w:r>
      <w:bookmarkEnd w:id="1"/>
    </w:p>
    <w:p w14:paraId="15D7B9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深入贯彻落实民族宗教工作相关法律法规，加快转变政府职能，推进政务服务运行标准化、服务供给规范化、企业和群众办事便利化，构建公开、公平、公正、非歧视的服务环境，提升民族宗教事务服务质效，保障服务对象合法权益，结合工作实际，制定本制度。</w:t>
      </w:r>
    </w:p>
    <w:p w14:paraId="7DF0FF93">
      <w:pPr>
        <w:spacing w:before="260" w:after="120" w:line="288" w:lineRule="auto"/>
        <w:ind w:left="0"/>
        <w:jc w:val="left"/>
        <w:outlineLvl w:val="3"/>
      </w:pPr>
      <w:bookmarkStart w:id="2" w:name="heading_2"/>
      <w:r>
        <w:rPr>
          <w:rFonts w:ascii="Arial" w:hAnsi="Arial" w:eastAsia="等线" w:cs="Arial"/>
          <w:b/>
          <w:sz w:val="28"/>
        </w:rPr>
        <w:t>第二条 适用范围</w:t>
      </w:r>
      <w:bookmarkEnd w:id="2"/>
    </w:p>
    <w:p w14:paraId="004AE9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适用于各级民族宗教事务部门（以下简称“民宗部门”）设立的政务服务窗口，包括进驻本级政务服务中心的专窗、委托受理的综合窗口及线上服务受理渠道，涵盖行政许可、咨询答复、事项办理、投诉处理等所有服务环节。</w:t>
      </w:r>
    </w:p>
    <w:p w14:paraId="5DEF7CF7">
      <w:pPr>
        <w:spacing w:before="260" w:after="120" w:line="288" w:lineRule="auto"/>
        <w:ind w:left="0"/>
        <w:jc w:val="left"/>
        <w:outlineLvl w:val="3"/>
      </w:pPr>
      <w:bookmarkStart w:id="3" w:name="heading_3"/>
      <w:r>
        <w:rPr>
          <w:rFonts w:ascii="Arial" w:hAnsi="Arial" w:eastAsia="等线" w:cs="Arial"/>
          <w:b/>
          <w:sz w:val="28"/>
        </w:rPr>
        <w:t>第三条 核心原则</w:t>
      </w:r>
      <w:bookmarkEnd w:id="3"/>
    </w:p>
    <w:p w14:paraId="68E9337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依法合规原则：严格依据《中华人民共和国行政许可法》《宗教事务条例》等法律法规及行政许可事项清单实施服务，不得擅自增设、取消或变相实施行政许可事项；</w:t>
      </w:r>
    </w:p>
    <w:p w14:paraId="34BDFFAB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便民高效原则：优化服务流程，减少办理环节，压缩办理时限，提供多元化受理渠道，降低服务对象办事成本；</w:t>
      </w:r>
    </w:p>
    <w:p w14:paraId="7E2C797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公开透明原则：全面公开办事指南、申请材料、办理流程、办理时限、收费标准（无收费事项需明确说明）、救济途径等信息，接受社会监督；</w:t>
      </w:r>
    </w:p>
    <w:p w14:paraId="5DC2F60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廉洁规范原则：坚守廉洁自律底线，杜绝违规收费、吃拿卡要等行为，保障服务过程公正合规。</w:t>
      </w:r>
    </w:p>
    <w:p w14:paraId="1B93AE86">
      <w:pPr>
        <w:spacing w:before="300" w:after="120" w:line="288" w:lineRule="auto"/>
        <w:ind w:left="0"/>
        <w:jc w:val="center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第二章 服务规范</w:t>
      </w:r>
      <w:bookmarkEnd w:id="4"/>
    </w:p>
    <w:p w14:paraId="145E9C10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第四条 受理渠道</w:t>
      </w:r>
      <w:bookmarkEnd w:id="5"/>
    </w:p>
    <w:p w14:paraId="3247EDE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现场受理：在政务服务中心专窗或民宗部门指定窗口，接收申请人或委托人提交的申请材料，实行统一受理、集中办理；</w:t>
      </w:r>
    </w:p>
    <w:p w14:paraId="27D4F5C6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线上受理：依托省级政务服务网、官方网站等平台，提供在线申请、材料上传、进度查询等服务，提倡申请人通过线上渠道提交申请；</w:t>
      </w:r>
    </w:p>
    <w:p w14:paraId="05C538E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其他渠道：支持通过信函、电报、电传、传真、电子数据交换和电子邮件等方式提交申请，工作人员需及时接收并登记处理。</w:t>
      </w:r>
    </w:p>
    <w:p w14:paraId="5765FC73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第五条 办事指南管理</w:t>
      </w:r>
      <w:bookmarkEnd w:id="6"/>
    </w:p>
    <w:p w14:paraId="6FFA7E8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民宗部门应根据行政许可事项实施清单，编制标准化办事指南，明确受理方式、申请材料、格式样表、办理流程、办理时限等内容，不得额外增加或变相增加办理环节和申请材料；</w:t>
      </w:r>
    </w:p>
    <w:p w14:paraId="3920C36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办事指南、申请表格及示例范本应在民宗部门网站或政务服务网全文公布，提供免费下载服务，一经公布需严格遵照执行；</w:t>
      </w:r>
    </w:p>
    <w:p w14:paraId="03C05E2B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办事指南内容发生调整的，应及时更新并向社会公示，确保服务对象获取最新信息。</w:t>
      </w:r>
    </w:p>
    <w:p w14:paraId="70EE76E7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第六条 申请处理规范</w:t>
      </w:r>
      <w:bookmarkEnd w:id="7"/>
    </w:p>
    <w:p w14:paraId="405E994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咨询答复：实行“咨询一次说清、表格一次发清”，对服务对象咨询的事项，应清晰答复办理要求、材料出处、份数及相关网址；对不属于本部门职责范围的，需明确说明并指引至相关部门；</w:t>
      </w:r>
    </w:p>
    <w:p w14:paraId="14AE9FA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申请审查：</w:t>
      </w:r>
    </w:p>
    <w:p w14:paraId="7827F51B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申请事项无需取得行政许可的，即时告知申请人不受理；</w:t>
      </w:r>
    </w:p>
    <w:p w14:paraId="0D68B67B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申请事项不属于本机关职权范围的，当场作出不予受理决定，并告知申请人向有关行政机关申请；</w:t>
      </w:r>
    </w:p>
    <w:p w14:paraId="3B5BC334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申请材料存在可当场更正错误的，允许申请人当场更正；</w:t>
      </w:r>
    </w:p>
    <w:p w14:paraId="55264FA6">
      <w:pPr>
        <w:numPr>
          <w:ilvl w:val="0"/>
          <w:numId w:val="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申请材料不齐全或不符合法定形式的，当场或在5个工作日内出具《行政许可材料补正告知书》，一次性告知需补正的全部内容；</w:t>
      </w:r>
    </w:p>
    <w:p w14:paraId="34AE41AC">
      <w:pPr>
        <w:numPr>
          <w:ilvl w:val="0"/>
          <w:numId w:val="1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申请事项属本机关职权范围且材料齐全、符合法定形式的，当场登记受理并出具《行政许可受理通知书》，落款日期为办理期限起始日期。</w:t>
      </w:r>
    </w:p>
    <w:p w14:paraId="3D697691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第七条 办理时限管理</w:t>
      </w:r>
      <w:bookmarkEnd w:id="8"/>
    </w:p>
    <w:p w14:paraId="1E0FF80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时限内办结：未明确法定期限的行政许可事项，自受理之日起20个工作日内作出行政许可决定；审核转报事项，下级民宗部门应在20个工作日内审查完毕并报送上级部门，上级部门不得要求申请人重复提供材料；</w:t>
      </w:r>
    </w:p>
    <w:p w14:paraId="31CEB665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延期办理：在规定期限内无法作出决定的，需经本机关主要负责人批准，最长可延长10个工作日，并出具《行政许可延期决定书》，书面告知申请人延长理由及期限；</w:t>
      </w:r>
    </w:p>
    <w:p w14:paraId="47F4B41A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特别程序时限：依法需要听证、招标、拍卖、检验、检测、检疫、鉴定和专家评审的，所需时间不计算在法定办理期限内，工作人员需书面告知申请人该部分时间。</w:t>
      </w:r>
    </w:p>
    <w:p w14:paraId="5D9DACB7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第八条 审查与决定规范</w:t>
      </w:r>
      <w:bookmarkEnd w:id="9"/>
    </w:p>
    <w:p w14:paraId="5D531C1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材料审查：工作人员应对申请材料的真实性、合法性和规范性进行逐级审核，提出准予或不予许可的建议，并出具审核意见；</w:t>
      </w:r>
    </w:p>
    <w:p w14:paraId="71A957D0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现场核查：法律、法规、规章规定或民宗部门认为有必要实施现场核查的，应指派两名以上工作人员开展核查，制作《现场核查笔录》《调查笔录》及《现场核查意见书》，如实记录核查全过程；</w:t>
      </w:r>
    </w:p>
    <w:p w14:paraId="1980CE0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重大事项集体讨论：重大行政许可事项需通过集体讨论作出决定，形成文字记录并由参加人员签名确认，重大事项清单由民宗部门根据实际确定；</w:t>
      </w:r>
    </w:p>
    <w:p w14:paraId="7EC09C8D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决定出具：</w:t>
      </w:r>
    </w:p>
    <w:p w14:paraId="30DACDD0">
      <w:pPr>
        <w:numPr>
          <w:ilvl w:val="0"/>
          <w:numId w:val="2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符合法定条件、标准的，出具《准予行政许可决定书》；</w:t>
      </w:r>
    </w:p>
    <w:p w14:paraId="3C073117">
      <w:pPr>
        <w:numPr>
          <w:ilvl w:val="0"/>
          <w:numId w:val="2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不予行政许可的，出具《不予行政许可决定书》，详细说明理由及行政复议、行政诉讼等法律救济途径。</w:t>
      </w:r>
    </w:p>
    <w:p w14:paraId="2B014171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第九条 结果送达与归档</w:t>
      </w:r>
      <w:bookmarkEnd w:id="10"/>
    </w:p>
    <w:p w14:paraId="41B9BA2C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文书送达：行政许可文书制作完成后，7个工作日内通过现场领取、邮寄、留置等法定方式送达申请人，并做好送达记录；</w:t>
      </w:r>
    </w:p>
    <w:p w14:paraId="5438A030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资料归档：办理过程中形成的申请书、审核意见、决定书、核查笔录等材料，按规定整理归档，确保档案完整规范，并严格保护服务对象信息安全；</w:t>
      </w:r>
    </w:p>
    <w:p w14:paraId="3801314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满意度评价：事项办理完毕后，发放申请人满意度评价表，收集服务质量反馈，作为优化服务的依据。</w:t>
      </w:r>
    </w:p>
    <w:p w14:paraId="48DA23A4">
      <w:pPr>
        <w:spacing w:before="300" w:after="120" w:line="288" w:lineRule="auto"/>
        <w:ind w:left="0"/>
        <w:jc w:val="center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第三章 人员管理</w:t>
      </w:r>
      <w:bookmarkEnd w:id="11"/>
    </w:p>
    <w:p w14:paraId="2E2A1546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第十条 岗位要求</w:t>
      </w:r>
      <w:bookmarkEnd w:id="12"/>
    </w:p>
    <w:p w14:paraId="48F6738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政治素质：拥护党的民族宗教政策，具备较高的政治素养和责任意识，熟悉民族宗教相关法律法规；</w:t>
      </w:r>
    </w:p>
    <w:p w14:paraId="4E78965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业务能力：熟练掌握办事指南、办理流程及相关政策，能准确解答咨询、审核材料，灵活运用政策法规提供多样化服务；</w:t>
      </w:r>
    </w:p>
    <w:p w14:paraId="60874930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服务礼仪：言行得体、热情大方，接待服务对象、接听电话时耐心真诚，主动提供帮助，做好沟通记录。</w:t>
      </w:r>
    </w:p>
    <w:p w14:paraId="0F0D8B08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第十一条 工作纪律</w:t>
      </w:r>
      <w:bookmarkEnd w:id="13"/>
    </w:p>
    <w:p w14:paraId="3F5D48C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严格遵守办公时间，不得擅自离岗、串岗，不得从事与工作无关的事务；</w:t>
      </w:r>
    </w:p>
    <w:p w14:paraId="009EE921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坚守廉洁自律规定，严禁违规收取费用、吃拿卡要等行为，做到“办事不找关系、用权不图好处”；</w:t>
      </w:r>
    </w:p>
    <w:p w14:paraId="0B79242C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保守工作秘密和服务对象隐私，不得泄露未公开的办理信息和服务对象个人信息；</w:t>
      </w:r>
    </w:p>
    <w:p w14:paraId="4611E4B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严格执行首问负责、一次性告知、限时办结等制度，不得推诿、拖延办理事项。</w:t>
      </w:r>
    </w:p>
    <w:p w14:paraId="79387BB7">
      <w:pPr>
        <w:spacing w:before="300" w:after="120" w:line="288" w:lineRule="auto"/>
        <w:ind w:left="0"/>
        <w:jc w:val="center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第四章 监督与考核</w:t>
      </w:r>
      <w:bookmarkEnd w:id="14"/>
    </w:p>
    <w:p w14:paraId="033258D5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第十二条 内部监督</w:t>
      </w:r>
      <w:bookmarkEnd w:id="15"/>
    </w:p>
    <w:p w14:paraId="4088F588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上级民宗部门通过实地检查、卷宗评查、随机暗访等方式，对下级部门服务窗口实施行政许可的行为进行监督，重点检查是否违法设定许可、是否按法定程序实施、是否违规收费等；</w:t>
      </w:r>
    </w:p>
    <w:p w14:paraId="545F5346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建立随机检查制度，加强对被许可人实施许可事项行为的监督检查，如实记录检查情况，对违法违规行为依法实施行政处罚。</w:t>
      </w:r>
    </w:p>
    <w:p w14:paraId="3ACFB2AA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第十三条 社会监督</w:t>
      </w:r>
      <w:bookmarkEnd w:id="16"/>
    </w:p>
    <w:p w14:paraId="5220B526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建立投诉举报制度，在窗口显著位置公示举报电话、邮箱等渠道，及时受理和处理服务对象的投诉举报，反馈处理结果；</w:t>
      </w:r>
    </w:p>
    <w:p w14:paraId="421E0CE1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主动接受社会公众、媒体监督，对反映的问题及时核查整改，不断提升服务质量。</w:t>
      </w:r>
    </w:p>
    <w:p w14:paraId="26B3F76F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第十四条 考核奖惩</w:t>
      </w:r>
      <w:bookmarkEnd w:id="17"/>
    </w:p>
    <w:p w14:paraId="667D996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将服务窗口工作纳入工作人员年度考核，考核内容包括服务态度、办理效率、合规性、满意度等；</w:t>
      </w:r>
    </w:p>
    <w:p w14:paraId="5A4FB5CF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对严格遵守制度、服务优质高效的工作人员给予表彰奖励；对违反工作纪律、服务不到位造成不良影响的，依规依纪追究责任。</w:t>
      </w:r>
    </w:p>
    <w:p w14:paraId="3FF90801">
      <w:pPr>
        <w:spacing w:before="300" w:after="120" w:line="288" w:lineRule="auto"/>
        <w:ind w:left="0"/>
        <w:jc w:val="center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第五章 附则</w:t>
      </w:r>
      <w:bookmarkEnd w:id="18"/>
    </w:p>
    <w:p w14:paraId="497BEA7A">
      <w:pPr>
        <w:spacing w:before="260" w:after="120" w:line="288" w:lineRule="auto"/>
        <w:ind w:left="0"/>
        <w:jc w:val="left"/>
        <w:outlineLvl w:val="3"/>
      </w:pPr>
      <w:bookmarkStart w:id="19" w:name="heading_19"/>
      <w:r>
        <w:rPr>
          <w:rFonts w:ascii="Arial" w:hAnsi="Arial" w:eastAsia="等线" w:cs="Arial"/>
          <w:b/>
          <w:sz w:val="28"/>
        </w:rPr>
        <w:t>第十五条 特殊事项管理</w:t>
      </w:r>
      <w:bookmarkEnd w:id="19"/>
    </w:p>
    <w:p w14:paraId="731B0612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行政许可依法由两个以上部门分别实施的，可采取联合办理、集中办理等方式，优化办理流程；</w:t>
      </w:r>
    </w:p>
    <w:p w14:paraId="766D3320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容缺办理事项按照公布的清单执行，对基本条件具备、主要申请材料齐全且符合法定形式，仅缺少次要材料的，在申请人承诺补充材料的前提下，可先行受理并办理；</w:t>
      </w:r>
    </w:p>
    <w:p w14:paraId="42E5C49E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违规禁办事项清单应向社会公示，对不符合法定条件的申请坚决不予办理，杜绝违规审批。</w:t>
      </w:r>
    </w:p>
    <w:p w14:paraId="3E1779E8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第十六条 制度实施</w:t>
      </w:r>
      <w:bookmarkEnd w:id="20"/>
    </w:p>
    <w:p w14:paraId="3B5FDA4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本制度由各级民宗部门负责解释，可结合本地实际制定实施细则；</w:t>
      </w:r>
    </w:p>
    <w:p w14:paraId="0CF0199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本制度自发布之日起施行，以往相关规定与本制度不一致的，以本制度为准。</w:t>
      </w:r>
    </w:p>
    <w:p w14:paraId="001811C1">
      <w:pPr>
        <w:spacing w:before="120" w:after="120" w:line="288" w:lineRule="auto"/>
        <w:ind w:left="0"/>
        <w:jc w:val="left"/>
      </w:pPr>
      <w:bookmarkStart w:id="21" w:name="_GoBack"/>
      <w:bookmarkEnd w:id="2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87F3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9A2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77ECEA79"/>
    <w:multiLevelType w:val="singleLevel"/>
    <w:tmpl w:val="77ECEA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4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7C246926"/>
    <w:multiLevelType w:val="singleLevel"/>
    <w:tmpl w:val="7C2469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6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2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0"/>
  </w:num>
  <w:num w:numId="22">
    <w:abstractNumId w:val="24"/>
  </w:num>
  <w:num w:numId="23">
    <w:abstractNumId w:val="32"/>
  </w:num>
  <w:num w:numId="24">
    <w:abstractNumId w:val="8"/>
  </w:num>
  <w:num w:numId="25">
    <w:abstractNumId w:val="45"/>
  </w:num>
  <w:num w:numId="26">
    <w:abstractNumId w:val="43"/>
  </w:num>
  <w:num w:numId="27">
    <w:abstractNumId w:val="12"/>
  </w:num>
  <w:num w:numId="28">
    <w:abstractNumId w:val="41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6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4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92D2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Office_12.8.2.20324_F1E327BC-269C-435d-A152-05C5408002CA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2026-01-28T02:10:00Z</dcterms:created>
  <dc:creator>Apache POI</dc:creator>
  <cp:lastModifiedBy>Administrator</cp:lastModifiedBy>
  <dcterms:modified xsi:type="dcterms:W3CDTF">2026-01-28T02:26:07Z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F0B6503721EA487BBE1B4AD6AC535A26_12</vt:lpwstr>
  </property>
</Properties>
</file>